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4D5DF8D2"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w:t>
      </w:r>
      <w:r w:rsidR="00AF332E">
        <w:rPr>
          <w:lang w:val="pt-BR"/>
        </w:rPr>
        <w:t>7</w:t>
      </w:r>
      <w:r>
        <w:rPr>
          <w:lang w:val="pt-BR"/>
        </w:rPr>
        <w:t>-</w:t>
      </w:r>
      <w:r w:rsidRPr="001907DE">
        <w:rPr>
          <w:lang w:val="pt-BR"/>
        </w:rPr>
        <w:t>e</w:t>
      </w:r>
      <w:r w:rsidRPr="001907DE">
        <w:rPr>
          <w:lang w:val="pt-BR"/>
        </w:rPr>
        <w:tab/>
      </w:r>
      <w:r w:rsidR="002F1E20" w:rsidRPr="002F1E20">
        <w:rPr>
          <w:rFonts w:cs="Arial"/>
          <w:color w:val="312E25"/>
          <w:szCs w:val="24"/>
          <w:lang w:eastAsia="en-SE"/>
        </w:rPr>
        <w:t>R2-2202433</w:t>
      </w:r>
    </w:p>
    <w:p w14:paraId="563583F6" w14:textId="5CEC1C7A" w:rsidR="005E1E05" w:rsidRPr="00CE0424" w:rsidRDefault="005E1E05" w:rsidP="005E1E05">
      <w:pPr>
        <w:pStyle w:val="3GPPHeader"/>
      </w:pPr>
      <w:r>
        <w:t xml:space="preserve">Electronical meeting, </w:t>
      </w:r>
      <w:r w:rsidR="00E63A14">
        <w:t>21 February</w:t>
      </w:r>
      <w:r w:rsidR="00E63A14" w:rsidRPr="002103F2">
        <w:t xml:space="preserve"> </w:t>
      </w:r>
      <w:r w:rsidRPr="002103F2">
        <w:t xml:space="preserve">– </w:t>
      </w:r>
      <w:r w:rsidR="00E63A14">
        <w:t>3</w:t>
      </w:r>
      <w:r w:rsidR="00E63A14" w:rsidRPr="002103F2">
        <w:t xml:space="preserve"> </w:t>
      </w:r>
      <w:r w:rsidR="00E63A14">
        <w:t>March</w:t>
      </w:r>
      <w:r w:rsidRPr="002103F2">
        <w:t xml:space="preserve"> 2022</w:t>
      </w:r>
    </w:p>
    <w:p w14:paraId="603EB941" w14:textId="77777777" w:rsidR="00E5637E" w:rsidRDefault="00E5637E" w:rsidP="00F64C2B">
      <w:pPr>
        <w:pStyle w:val="3GPPHeader"/>
        <w:rPr>
          <w:sz w:val="22"/>
          <w:szCs w:val="22"/>
          <w:lang w:val="en-US"/>
        </w:rPr>
      </w:pPr>
    </w:p>
    <w:p w14:paraId="7F4474A6" w14:textId="2EDC9B4E"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6C19AB">
        <w:rPr>
          <w:sz w:val="22"/>
          <w:szCs w:val="22"/>
          <w:lang w:val="en-US"/>
        </w:rPr>
        <w:t>8.20.2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EEFE2E4" w:rsidR="00E90E49" w:rsidRPr="00CE0424" w:rsidRDefault="003D3C45" w:rsidP="00311702">
      <w:pPr>
        <w:pStyle w:val="3GPPHeader"/>
        <w:rPr>
          <w:sz w:val="22"/>
          <w:szCs w:val="22"/>
        </w:rPr>
      </w:pPr>
      <w:r>
        <w:rPr>
          <w:sz w:val="22"/>
          <w:szCs w:val="22"/>
        </w:rPr>
        <w:t>Title:</w:t>
      </w:r>
      <w:r w:rsidR="00E90E49" w:rsidRPr="00CE0424">
        <w:rPr>
          <w:sz w:val="22"/>
          <w:szCs w:val="22"/>
        </w:rPr>
        <w:tab/>
      </w:r>
      <w:r w:rsidR="005E1E05">
        <w:rPr>
          <w:sz w:val="22"/>
          <w:szCs w:val="22"/>
        </w:rPr>
        <w:t xml:space="preserve">Remaining protocol </w:t>
      </w:r>
      <w:r w:rsidR="00053A04">
        <w:rPr>
          <w:sz w:val="22"/>
          <w:szCs w:val="22"/>
        </w:rPr>
        <w:t>aspects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70B1DF77" w14:textId="45B46785" w:rsidR="003509F5" w:rsidRDefault="00216006" w:rsidP="00080B91">
      <w:pPr>
        <w:jc w:val="both"/>
        <w:rPr>
          <w:rFonts w:ascii="Arial" w:hAnsi="Arial" w:cs="Arial"/>
          <w:bCs/>
          <w:lang w:val="en-US"/>
        </w:rPr>
      </w:pPr>
      <w:r>
        <w:rPr>
          <w:rFonts w:ascii="Arial" w:hAnsi="Arial" w:cs="Arial"/>
          <w:bCs/>
          <w:lang w:val="en-US"/>
        </w:rPr>
        <w:t>In the WID</w:t>
      </w:r>
      <w:r w:rsidRPr="00D74102">
        <w:rPr>
          <w:rFonts w:ascii="Arial" w:hAnsi="Arial" w:cs="Arial"/>
          <w:lang w:val="en-US"/>
        </w:rPr>
        <w:t xml:space="preserve"> [</w:t>
      </w:r>
      <w:r>
        <w:rPr>
          <w:rFonts w:ascii="Arial" w:hAnsi="Arial" w:cs="Arial"/>
          <w:lang w:val="en-US"/>
        </w:rPr>
        <w:t>1</w:t>
      </w:r>
      <w:r w:rsidRPr="00D74102">
        <w:rPr>
          <w:rFonts w:ascii="Arial" w:hAnsi="Arial" w:cs="Arial"/>
          <w:lang w:val="en-US"/>
        </w:rPr>
        <w:t>]</w:t>
      </w:r>
      <w:r>
        <w:rPr>
          <w:rFonts w:ascii="Arial" w:hAnsi="Arial" w:cs="Arial"/>
          <w:lang w:val="en-US"/>
        </w:rPr>
        <w:t xml:space="preserve">, it has been </w:t>
      </w:r>
      <w:r w:rsidRPr="00D74102">
        <w:rPr>
          <w:rFonts w:ascii="Arial" w:hAnsi="Arial" w:cs="Arial"/>
          <w:lang w:val="en-US"/>
        </w:rPr>
        <w:t>approved</w:t>
      </w:r>
      <w:r w:rsidRPr="00D74102">
        <w:rPr>
          <w:rFonts w:ascii="Arial" w:hAnsi="Arial" w:cs="Arial"/>
          <w:bCs/>
          <w:lang w:val="en-US"/>
        </w:rPr>
        <w:t xml:space="preserve"> to extend NR operation up to 71 GHz considering both licensed and unlicensed operation. </w:t>
      </w:r>
      <w:r w:rsidR="00C37A0A" w:rsidRPr="00C37A0A">
        <w:rPr>
          <w:rFonts w:ascii="Arial" w:hAnsi="Arial" w:cs="Arial"/>
          <w:bCs/>
          <w:lang w:val="en-US"/>
        </w:rPr>
        <w:t xml:space="preserve">RAN#92 </w:t>
      </w:r>
      <w:r w:rsidR="00C37A0A">
        <w:rPr>
          <w:rFonts w:ascii="Arial" w:hAnsi="Arial" w:cs="Arial"/>
          <w:bCs/>
          <w:lang w:val="en-US"/>
        </w:rPr>
        <w:t xml:space="preserve">agreed that </w:t>
      </w:r>
      <w:r w:rsidR="00C37A0A" w:rsidRPr="00C37A0A">
        <w:rPr>
          <w:rFonts w:ascii="Arial" w:hAnsi="Arial" w:cs="Arial"/>
          <w:bCs/>
          <w:lang w:val="en-US"/>
        </w:rPr>
        <w:t xml:space="preserve">the frequency range 52.6 – 71 GHz </w:t>
      </w:r>
      <w:r w:rsidR="00C37A0A">
        <w:rPr>
          <w:rFonts w:ascii="Arial" w:hAnsi="Arial" w:cs="Arial"/>
          <w:bCs/>
          <w:lang w:val="en-US"/>
        </w:rPr>
        <w:t xml:space="preserve">is part of FR2. If a distinction from the existing FR2 frequency range is needed, the </w:t>
      </w:r>
      <w:r w:rsidR="003509F5">
        <w:rPr>
          <w:rFonts w:ascii="Arial" w:hAnsi="Arial" w:cs="Arial"/>
          <w:bCs/>
          <w:lang w:val="en-US"/>
        </w:rPr>
        <w:t>notion</w:t>
      </w:r>
      <w:r w:rsidR="0002534B">
        <w:rPr>
          <w:rFonts w:ascii="Arial" w:hAnsi="Arial" w:cs="Arial"/>
          <w:bCs/>
          <w:lang w:val="en-US"/>
        </w:rPr>
        <w:t xml:space="preserve"> of</w:t>
      </w:r>
      <w:r w:rsidR="003509F5">
        <w:rPr>
          <w:rFonts w:ascii="Arial" w:hAnsi="Arial" w:cs="Arial"/>
          <w:bCs/>
          <w:lang w:val="en-US"/>
        </w:rPr>
        <w:t xml:space="preserve"> “FR2-2” </w:t>
      </w:r>
      <w:r w:rsidR="00C37A0A">
        <w:rPr>
          <w:rFonts w:ascii="Arial" w:hAnsi="Arial" w:cs="Arial"/>
          <w:bCs/>
          <w:lang w:val="en-US"/>
        </w:rPr>
        <w:t>should be used while the legacy range may be referred to as FR2-1</w:t>
      </w:r>
      <w:r w:rsidR="003509F5">
        <w:rPr>
          <w:rFonts w:ascii="Arial" w:hAnsi="Arial" w:cs="Arial"/>
          <w:bCs/>
          <w:lang w:val="en-US"/>
        </w:rPr>
        <w:t>.</w:t>
      </w:r>
    </w:p>
    <w:p w14:paraId="254B1360" w14:textId="29AAD711" w:rsidR="00AF03BD" w:rsidRPr="00AF03BD" w:rsidRDefault="00E53328" w:rsidP="00AB04C7">
      <w:pPr>
        <w:rPr>
          <w:rFonts w:ascii="Arial" w:hAnsi="Arial" w:cs="Arial"/>
          <w:lang w:val="en-US"/>
        </w:rPr>
      </w:pPr>
      <w:r>
        <w:rPr>
          <w:rFonts w:ascii="Arial" w:hAnsi="Arial" w:cs="Arial"/>
          <w:bCs/>
          <w:lang w:val="en-US"/>
        </w:rPr>
        <w:t xml:space="preserve">In </w:t>
      </w:r>
      <w:r w:rsidR="004D361F">
        <w:rPr>
          <w:rFonts w:ascii="Arial" w:hAnsi="Arial" w:cs="Arial"/>
          <w:bCs/>
          <w:lang w:val="en-US"/>
        </w:rPr>
        <w:t>this paper</w:t>
      </w:r>
      <w:r>
        <w:rPr>
          <w:rFonts w:ascii="Arial" w:hAnsi="Arial" w:cs="Arial"/>
          <w:bCs/>
          <w:lang w:val="en-US"/>
        </w:rPr>
        <w:t xml:space="preserve">, </w:t>
      </w:r>
      <w:r w:rsidR="00216006" w:rsidRPr="00D74102">
        <w:rPr>
          <w:rFonts w:ascii="Arial" w:hAnsi="Arial" w:cs="Arial"/>
          <w:bCs/>
          <w:lang w:val="en-US"/>
        </w:rPr>
        <w:t xml:space="preserve">we discuss </w:t>
      </w:r>
      <w:r w:rsidR="00DF7E3D">
        <w:rPr>
          <w:rFonts w:ascii="Arial" w:hAnsi="Arial" w:cs="Arial"/>
          <w:bCs/>
          <w:lang w:val="en-US"/>
        </w:rPr>
        <w:t xml:space="preserve">the </w:t>
      </w:r>
      <w:r w:rsidR="009D7C4B">
        <w:rPr>
          <w:rFonts w:ascii="Arial" w:hAnsi="Arial" w:cs="Arial"/>
          <w:bCs/>
          <w:lang w:val="en-US"/>
        </w:rPr>
        <w:t xml:space="preserve">remaining protocol </w:t>
      </w:r>
      <w:r w:rsidR="00AA522F">
        <w:rPr>
          <w:rFonts w:ascii="Arial" w:hAnsi="Arial" w:cs="Arial"/>
          <w:bCs/>
          <w:lang w:val="en-US"/>
        </w:rPr>
        <w:t xml:space="preserve">aspects </w:t>
      </w:r>
      <w:r w:rsidR="00D74102">
        <w:rPr>
          <w:rFonts w:ascii="Arial" w:hAnsi="Arial" w:cs="Arial"/>
          <w:bCs/>
          <w:lang w:val="en-US"/>
        </w:rPr>
        <w:t>and express our views</w:t>
      </w:r>
      <w:r w:rsidR="00216006" w:rsidRPr="00D74102">
        <w:rPr>
          <w:rFonts w:ascii="Arial" w:hAnsi="Arial" w:cs="Arial"/>
          <w:bCs/>
          <w:lang w:val="en-US"/>
        </w:rPr>
        <w:t>.</w:t>
      </w:r>
    </w:p>
    <w:p w14:paraId="5858C0D0" w14:textId="77777777" w:rsidR="004000E8" w:rsidRPr="00CE0424" w:rsidRDefault="00230D18" w:rsidP="00CE0424">
      <w:pPr>
        <w:pStyle w:val="Heading1"/>
      </w:pPr>
      <w:bookmarkStart w:id="2" w:name="_Ref178064866"/>
      <w:r>
        <w:t>2</w:t>
      </w:r>
      <w:r>
        <w:tab/>
      </w:r>
      <w:r w:rsidR="004000E8" w:rsidRPr="00CE0424">
        <w:t>Discussion</w:t>
      </w:r>
      <w:bookmarkEnd w:id="2"/>
    </w:p>
    <w:p w14:paraId="3DE8F2EC" w14:textId="34471876" w:rsidR="003D28CF" w:rsidRDefault="003D28CF" w:rsidP="003D28CF">
      <w:pPr>
        <w:pStyle w:val="Heading2"/>
        <w:rPr>
          <w:rFonts w:eastAsia="Times New Roman"/>
        </w:rPr>
      </w:pPr>
      <w:r>
        <w:rPr>
          <w:rFonts w:asciiTheme="minorEastAsia" w:eastAsiaTheme="minorEastAsia" w:hAnsiTheme="minorEastAsia" w:hint="eastAsia"/>
          <w:lang w:eastAsia="zh-CN"/>
        </w:rPr>
        <w:t>2.</w:t>
      </w:r>
      <w:r w:rsidR="006267D4">
        <w:rPr>
          <w:rFonts w:asciiTheme="minorEastAsia" w:eastAsiaTheme="minorEastAsia" w:hAnsiTheme="minorEastAsia"/>
          <w:lang w:eastAsia="zh-CN"/>
        </w:rPr>
        <w:t>1</w:t>
      </w:r>
      <w:r>
        <w:rPr>
          <w:rFonts w:eastAsia="Times New Roman"/>
        </w:rPr>
        <w:t xml:space="preserve"> </w:t>
      </w:r>
      <w:r w:rsidR="00F95EA8">
        <w:rPr>
          <w:rFonts w:eastAsia="Times New Roman"/>
        </w:rPr>
        <w:t>L2 buffer</w:t>
      </w:r>
    </w:p>
    <w:p w14:paraId="55A8B545" w14:textId="0C4B5F33" w:rsidR="00253853" w:rsidRPr="00C65B46" w:rsidRDefault="0052044F" w:rsidP="00253853">
      <w:pPr>
        <w:rPr>
          <w:rFonts w:ascii="Arial" w:hAnsi="Arial" w:cs="Arial"/>
        </w:rPr>
      </w:pPr>
      <w:r>
        <w:rPr>
          <w:rFonts w:ascii="Arial" w:hAnsi="Arial" w:cs="Arial"/>
        </w:rPr>
        <w:t xml:space="preserve">Regarding L2 buffer size, as shown in the below, </w:t>
      </w:r>
      <w:r w:rsidRPr="00C65B46">
        <w:rPr>
          <w:rFonts w:ascii="Arial" w:hAnsi="Arial" w:cs="Arial"/>
        </w:rPr>
        <w:t xml:space="preserve">RAN2 </w:t>
      </w:r>
      <w:r>
        <w:rPr>
          <w:rFonts w:ascii="Arial" w:hAnsi="Arial" w:cs="Arial"/>
        </w:rPr>
        <w:t xml:space="preserve">has agreed to keep the existing L2 buffer size definition. </w:t>
      </w:r>
    </w:p>
    <w:p w14:paraId="39390BCE" w14:textId="77777777" w:rsidR="0052044F" w:rsidRPr="00707AAB" w:rsidRDefault="0052044F" w:rsidP="0052044F">
      <w:pPr>
        <w:pStyle w:val="Agreement"/>
        <w:rPr>
          <w:rFonts w:cs="Arial"/>
        </w:rPr>
      </w:pPr>
      <w:r w:rsidRPr="00C65B46">
        <w:rPr>
          <w:rFonts w:cs="Arial"/>
        </w:rPr>
        <w:t>#2: Keep the L2 buffer size definition as it reflects the upper bound of the L2 buffer size requirement.</w:t>
      </w:r>
    </w:p>
    <w:p w14:paraId="450F35FC" w14:textId="7AE7C650" w:rsidR="0052044F" w:rsidRDefault="0052044F" w:rsidP="00253853">
      <w:pPr>
        <w:rPr>
          <w:rFonts w:ascii="Arial" w:hAnsi="Arial" w:cs="Arial"/>
        </w:rPr>
      </w:pPr>
    </w:p>
    <w:p w14:paraId="28AFE293" w14:textId="70967A65" w:rsidR="00AE29BD" w:rsidRPr="00707AAB" w:rsidRDefault="00AE29BD" w:rsidP="00253853">
      <w:pPr>
        <w:rPr>
          <w:rFonts w:ascii="Arial" w:hAnsi="Arial" w:cs="Arial"/>
        </w:rPr>
      </w:pPr>
      <w:r w:rsidRPr="00C65B46">
        <w:rPr>
          <w:rFonts w:ascii="Arial" w:hAnsi="Arial" w:cs="Arial"/>
        </w:rPr>
        <w:t>The remaining issue is regarding whether new UE capability is needed to address concern on too high L2 buffer size requirement</w:t>
      </w:r>
      <w:r w:rsidRPr="00707AAB">
        <w:rPr>
          <w:rFonts w:ascii="Arial" w:hAnsi="Arial" w:cs="Arial"/>
        </w:rPr>
        <w:t>.</w:t>
      </w:r>
    </w:p>
    <w:p w14:paraId="57E25E57" w14:textId="08DF776E" w:rsidR="00290562" w:rsidRPr="000B353E" w:rsidRDefault="00290562" w:rsidP="00253853">
      <w:pPr>
        <w:rPr>
          <w:rFonts w:ascii="Arial" w:hAnsi="Arial" w:cs="Arial"/>
        </w:rPr>
      </w:pPr>
      <w:r w:rsidRPr="000B353E">
        <w:rPr>
          <w:rFonts w:ascii="Arial" w:hAnsi="Arial" w:cs="Arial"/>
        </w:rPr>
        <w:t>We don’t think the new UE capability and scaling factor is needed due to the following reasons</w:t>
      </w:r>
    </w:p>
    <w:p w14:paraId="1ABC7E53" w14:textId="0FDE9BDF" w:rsidR="0021613A" w:rsidRPr="00691754" w:rsidRDefault="0021613A" w:rsidP="00691754">
      <w:pPr>
        <w:pStyle w:val="ListParagraph"/>
        <w:rPr>
          <w:rFonts w:ascii="Arial" w:hAnsi="Arial" w:cs="Arial"/>
          <w:sz w:val="20"/>
          <w:szCs w:val="20"/>
          <w:lang w:val="en-US"/>
        </w:rPr>
      </w:pPr>
    </w:p>
    <w:p w14:paraId="45D2C53D" w14:textId="6A83B218" w:rsidR="00661E72" w:rsidRDefault="00F5324E" w:rsidP="00661E72">
      <w:pPr>
        <w:pStyle w:val="ListParagraph"/>
        <w:numPr>
          <w:ilvl w:val="0"/>
          <w:numId w:val="51"/>
        </w:numPr>
        <w:rPr>
          <w:rFonts w:ascii="Arial" w:hAnsi="Arial" w:cs="Arial"/>
          <w:sz w:val="20"/>
          <w:szCs w:val="20"/>
          <w:lang w:val="en-US"/>
        </w:rPr>
      </w:pPr>
      <w:r>
        <w:rPr>
          <w:rFonts w:ascii="Arial" w:hAnsi="Arial" w:cs="Arial"/>
          <w:sz w:val="20"/>
          <w:szCs w:val="20"/>
          <w:lang w:val="en-US"/>
        </w:rPr>
        <w:t xml:space="preserve">For a UE, it is difficult to have a scaling factor setting which is suitable in all cases. L2 buffer size will be affected by the actual data rate that the UE can </w:t>
      </w:r>
      <w:proofErr w:type="gramStart"/>
      <w:r>
        <w:rPr>
          <w:rFonts w:ascii="Arial" w:hAnsi="Arial" w:cs="Arial"/>
          <w:sz w:val="20"/>
          <w:szCs w:val="20"/>
          <w:lang w:val="en-US"/>
        </w:rPr>
        <w:t>achieve in reality</w:t>
      </w:r>
      <w:proofErr w:type="gramEnd"/>
      <w:r>
        <w:rPr>
          <w:rFonts w:ascii="Arial" w:hAnsi="Arial" w:cs="Arial"/>
          <w:sz w:val="20"/>
          <w:szCs w:val="20"/>
          <w:lang w:val="en-US"/>
        </w:rPr>
        <w:t xml:space="preserve">. The UE data rate may be limited by many realistic factors such as </w:t>
      </w:r>
      <w:r w:rsidRPr="00A318D2">
        <w:rPr>
          <w:rFonts w:ascii="Arial" w:hAnsi="Arial" w:cs="Arial"/>
          <w:sz w:val="20"/>
          <w:szCs w:val="20"/>
          <w:lang w:val="en-US"/>
        </w:rPr>
        <w:t>phase noise issues as well as power limitation and path losses</w:t>
      </w:r>
      <w:r>
        <w:rPr>
          <w:rFonts w:ascii="Arial" w:hAnsi="Arial" w:cs="Arial"/>
          <w:sz w:val="20"/>
          <w:szCs w:val="20"/>
          <w:lang w:val="en-US"/>
        </w:rPr>
        <w:t xml:space="preserve"> etc. </w:t>
      </w:r>
      <w:r w:rsidR="00785F54">
        <w:rPr>
          <w:rFonts w:ascii="Arial" w:hAnsi="Arial" w:cs="Arial"/>
          <w:sz w:val="20"/>
          <w:szCs w:val="20"/>
          <w:lang w:val="en-US"/>
        </w:rPr>
        <w:t xml:space="preserve">When the scaled L2 buffer size using an inaccurate scaling factor turns to be too low </w:t>
      </w:r>
      <w:r w:rsidR="003E3B7B">
        <w:rPr>
          <w:rFonts w:ascii="Arial" w:hAnsi="Arial" w:cs="Arial"/>
          <w:sz w:val="20"/>
          <w:szCs w:val="20"/>
          <w:lang w:val="en-US"/>
        </w:rPr>
        <w:t xml:space="preserve">from </w:t>
      </w:r>
      <w:r w:rsidR="00785F54">
        <w:rPr>
          <w:rFonts w:ascii="Arial" w:hAnsi="Arial" w:cs="Arial"/>
          <w:sz w:val="20"/>
          <w:szCs w:val="20"/>
          <w:lang w:val="en-US"/>
        </w:rPr>
        <w:t xml:space="preserve">the </w:t>
      </w:r>
      <w:r w:rsidR="003E3B7B">
        <w:rPr>
          <w:rFonts w:ascii="Arial" w:hAnsi="Arial" w:cs="Arial"/>
          <w:sz w:val="20"/>
          <w:szCs w:val="20"/>
          <w:lang w:val="en-US"/>
        </w:rPr>
        <w:t xml:space="preserve">network scheduling capabilities and </w:t>
      </w:r>
      <w:r w:rsidR="00785F54">
        <w:rPr>
          <w:rFonts w:ascii="Arial" w:hAnsi="Arial" w:cs="Arial"/>
          <w:sz w:val="20"/>
          <w:szCs w:val="20"/>
          <w:lang w:val="en-US"/>
        </w:rPr>
        <w:t>UE</w:t>
      </w:r>
      <w:r w:rsidR="003E3B7B">
        <w:rPr>
          <w:rFonts w:ascii="Arial" w:hAnsi="Arial" w:cs="Arial"/>
          <w:sz w:val="20"/>
          <w:szCs w:val="20"/>
          <w:lang w:val="en-US"/>
        </w:rPr>
        <w:t xml:space="preserve"> potential </w:t>
      </w:r>
      <w:r w:rsidR="0071437C">
        <w:rPr>
          <w:rFonts w:ascii="Arial" w:hAnsi="Arial" w:cs="Arial"/>
          <w:sz w:val="20"/>
          <w:szCs w:val="20"/>
          <w:lang w:val="en-US"/>
        </w:rPr>
        <w:t>capacities point of view</w:t>
      </w:r>
      <w:r w:rsidR="00691754">
        <w:rPr>
          <w:rFonts w:ascii="Arial" w:hAnsi="Arial" w:cs="Arial"/>
          <w:sz w:val="20"/>
          <w:szCs w:val="20"/>
          <w:lang w:val="en-US"/>
        </w:rPr>
        <w:t>,</w:t>
      </w:r>
      <w:r w:rsidR="00785F54">
        <w:rPr>
          <w:rFonts w:ascii="Arial" w:hAnsi="Arial" w:cs="Arial"/>
          <w:sz w:val="20"/>
          <w:szCs w:val="20"/>
          <w:lang w:val="en-US"/>
        </w:rPr>
        <w:t xml:space="preserve"> </w:t>
      </w:r>
      <w:r w:rsidR="00691754">
        <w:rPr>
          <w:rFonts w:ascii="Arial" w:hAnsi="Arial" w:cs="Arial"/>
          <w:sz w:val="20"/>
          <w:szCs w:val="20"/>
          <w:lang w:val="en-US"/>
        </w:rPr>
        <w:t xml:space="preserve">the UE </w:t>
      </w:r>
      <w:proofErr w:type="gramStart"/>
      <w:r w:rsidR="00691754">
        <w:rPr>
          <w:rFonts w:ascii="Arial" w:hAnsi="Arial" w:cs="Arial"/>
          <w:sz w:val="20"/>
          <w:szCs w:val="20"/>
          <w:lang w:val="en-US"/>
        </w:rPr>
        <w:t>has to</w:t>
      </w:r>
      <w:proofErr w:type="gramEnd"/>
      <w:r w:rsidR="00691754">
        <w:rPr>
          <w:rFonts w:ascii="Arial" w:hAnsi="Arial" w:cs="Arial"/>
          <w:sz w:val="20"/>
          <w:szCs w:val="20"/>
          <w:lang w:val="en-US"/>
        </w:rPr>
        <w:t xml:space="preserve"> drop </w:t>
      </w:r>
      <w:r w:rsidR="0021613A">
        <w:rPr>
          <w:rFonts w:ascii="Arial" w:hAnsi="Arial" w:cs="Arial"/>
          <w:sz w:val="20"/>
          <w:szCs w:val="20"/>
          <w:lang w:val="en-US"/>
        </w:rPr>
        <w:t>packet at PDCP or RLC layer</w:t>
      </w:r>
      <w:r w:rsidR="00691754">
        <w:rPr>
          <w:rFonts w:ascii="Arial" w:hAnsi="Arial" w:cs="Arial"/>
          <w:sz w:val="20"/>
          <w:szCs w:val="20"/>
          <w:lang w:val="en-US"/>
        </w:rPr>
        <w:t xml:space="preserve">, which </w:t>
      </w:r>
      <w:r w:rsidR="0021613A">
        <w:rPr>
          <w:rFonts w:ascii="Arial" w:hAnsi="Arial" w:cs="Arial"/>
          <w:sz w:val="20"/>
          <w:szCs w:val="20"/>
          <w:lang w:val="en-US"/>
        </w:rPr>
        <w:t xml:space="preserve">further </w:t>
      </w:r>
      <w:r w:rsidR="000568DB">
        <w:rPr>
          <w:rFonts w:ascii="Arial" w:hAnsi="Arial" w:cs="Arial"/>
          <w:sz w:val="20"/>
          <w:szCs w:val="20"/>
          <w:lang w:val="en-US"/>
        </w:rPr>
        <w:t>causes</w:t>
      </w:r>
      <w:r w:rsidR="0021613A">
        <w:rPr>
          <w:rFonts w:ascii="Arial" w:hAnsi="Arial" w:cs="Arial"/>
          <w:sz w:val="20"/>
          <w:szCs w:val="20"/>
          <w:lang w:val="en-US"/>
        </w:rPr>
        <w:t xml:space="preserve"> transmission window to be reduced.</w:t>
      </w:r>
      <w:r w:rsidR="00D518B8">
        <w:rPr>
          <w:rFonts w:ascii="Arial" w:hAnsi="Arial" w:cs="Arial"/>
          <w:sz w:val="20"/>
          <w:szCs w:val="20"/>
          <w:lang w:val="en-US"/>
        </w:rPr>
        <w:t xml:space="preserve"> </w:t>
      </w:r>
      <w:r w:rsidR="00BD4099">
        <w:rPr>
          <w:rFonts w:ascii="Arial" w:hAnsi="Arial" w:cs="Arial"/>
          <w:sz w:val="20"/>
          <w:szCs w:val="20"/>
          <w:lang w:val="en-US"/>
        </w:rPr>
        <w:t>In such a case, t</w:t>
      </w:r>
      <w:r w:rsidR="00D518B8">
        <w:rPr>
          <w:rFonts w:ascii="Arial" w:hAnsi="Arial" w:cs="Arial"/>
          <w:sz w:val="20"/>
          <w:szCs w:val="20"/>
          <w:lang w:val="en-US"/>
        </w:rPr>
        <w:t xml:space="preserve">ransmission window may take a while to ramp up to a </w:t>
      </w:r>
      <w:r w:rsidR="00D33708">
        <w:rPr>
          <w:rFonts w:ascii="Arial" w:hAnsi="Arial" w:cs="Arial"/>
          <w:sz w:val="20"/>
          <w:szCs w:val="20"/>
          <w:lang w:val="en-US"/>
        </w:rPr>
        <w:t xml:space="preserve">reasonable </w:t>
      </w:r>
      <w:r w:rsidR="00D518B8">
        <w:rPr>
          <w:rFonts w:ascii="Arial" w:hAnsi="Arial" w:cs="Arial"/>
          <w:sz w:val="20"/>
          <w:szCs w:val="20"/>
          <w:lang w:val="en-US"/>
        </w:rPr>
        <w:t xml:space="preserve">level. As a result, </w:t>
      </w:r>
      <w:r w:rsidR="0021613A">
        <w:rPr>
          <w:rFonts w:ascii="Arial" w:hAnsi="Arial" w:cs="Arial"/>
          <w:sz w:val="20"/>
          <w:szCs w:val="20"/>
          <w:lang w:val="en-US"/>
        </w:rPr>
        <w:t xml:space="preserve">UE </w:t>
      </w:r>
      <w:r w:rsidR="0021613A" w:rsidRPr="0021613A">
        <w:rPr>
          <w:rFonts w:ascii="Arial" w:hAnsi="Arial" w:cs="Arial"/>
          <w:sz w:val="20"/>
          <w:szCs w:val="20"/>
          <w:lang w:val="en-US"/>
        </w:rPr>
        <w:t>throughput</w:t>
      </w:r>
      <w:r w:rsidR="00D518B8">
        <w:rPr>
          <w:rFonts w:ascii="Arial" w:hAnsi="Arial" w:cs="Arial"/>
          <w:sz w:val="20"/>
          <w:szCs w:val="20"/>
          <w:lang w:val="en-US"/>
        </w:rPr>
        <w:t xml:space="preserve"> would be negatively impacted unnecessary</w:t>
      </w:r>
      <w:r w:rsidR="0021613A">
        <w:rPr>
          <w:rFonts w:ascii="Arial" w:hAnsi="Arial" w:cs="Arial"/>
          <w:sz w:val="20"/>
          <w:szCs w:val="20"/>
          <w:lang w:val="en-US"/>
        </w:rPr>
        <w:t>.</w:t>
      </w:r>
      <w:r w:rsidR="00661E72">
        <w:rPr>
          <w:rFonts w:ascii="Arial" w:hAnsi="Arial" w:cs="Arial"/>
          <w:sz w:val="20"/>
          <w:szCs w:val="20"/>
          <w:lang w:val="en-US"/>
        </w:rPr>
        <w:t xml:space="preserve"> </w:t>
      </w:r>
    </w:p>
    <w:p w14:paraId="5D9ADD69" w14:textId="67D24D33" w:rsidR="00D9469A" w:rsidRPr="00AB76F7" w:rsidRDefault="00661E72" w:rsidP="000739BB">
      <w:pPr>
        <w:rPr>
          <w:rFonts w:ascii="Arial" w:hAnsi="Arial" w:cs="Arial"/>
          <w:lang w:val="en-US"/>
        </w:rPr>
      </w:pPr>
      <w:r w:rsidRPr="00AB76F7">
        <w:rPr>
          <w:rFonts w:ascii="Arial" w:hAnsi="Arial" w:cs="Arial"/>
          <w:lang w:val="en-US"/>
        </w:rPr>
        <w:t xml:space="preserve">There is already existing UE capability, i.e., </w:t>
      </w:r>
      <w:proofErr w:type="spellStart"/>
      <w:r w:rsidRPr="00206B6C">
        <w:rPr>
          <w:rFonts w:ascii="Arial" w:hAnsi="Arial" w:cs="Arial"/>
          <w:i/>
          <w:iCs/>
          <w:lang w:val="en-US"/>
        </w:rPr>
        <w:t>scalingFactor</w:t>
      </w:r>
      <w:proofErr w:type="spellEnd"/>
      <w:r w:rsidRPr="00206B6C">
        <w:rPr>
          <w:rFonts w:ascii="Arial" w:hAnsi="Arial" w:cs="Arial"/>
          <w:lang w:val="en-US"/>
        </w:rPr>
        <w:t xml:space="preserve"> for both PDSCH and PUSCH, which can be used already to indicate limitation</w:t>
      </w:r>
      <w:r w:rsidR="005E0DBC" w:rsidRPr="00206B6C">
        <w:rPr>
          <w:rFonts w:ascii="Arial" w:hAnsi="Arial" w:cs="Arial"/>
          <w:lang w:val="en-US"/>
        </w:rPr>
        <w:t xml:space="preserve"> of maximum data rate</w:t>
      </w:r>
      <w:r w:rsidRPr="00206B6C">
        <w:rPr>
          <w:rFonts w:ascii="Arial" w:hAnsi="Arial" w:cs="Arial"/>
          <w:lang w:val="en-US"/>
        </w:rPr>
        <w:t xml:space="preserve"> </w:t>
      </w:r>
      <w:r w:rsidR="005E0DBC" w:rsidRPr="00531013">
        <w:rPr>
          <w:rFonts w:ascii="Arial" w:hAnsi="Arial" w:cs="Arial"/>
          <w:lang w:val="en-US"/>
        </w:rPr>
        <w:t xml:space="preserve">calculation </w:t>
      </w:r>
      <w:r w:rsidRPr="00531013">
        <w:rPr>
          <w:rFonts w:ascii="Arial" w:hAnsi="Arial" w:cs="Arial"/>
          <w:lang w:val="en-US"/>
        </w:rPr>
        <w:t>and thus limit L2 buffer size.</w:t>
      </w:r>
      <w:r w:rsidR="00143508" w:rsidRPr="00531013">
        <w:rPr>
          <w:rFonts w:ascii="Arial" w:hAnsi="Arial" w:cs="Arial"/>
          <w:lang w:val="en-US"/>
        </w:rPr>
        <w:t xml:space="preserve"> Also, the UE can report the supported band combination that scale</w:t>
      </w:r>
      <w:r w:rsidR="006F74E2">
        <w:rPr>
          <w:rFonts w:ascii="Arial" w:hAnsi="Arial" w:cs="Arial"/>
          <w:lang w:val="en-US"/>
        </w:rPr>
        <w:t>s</w:t>
      </w:r>
      <w:r w:rsidR="00143508" w:rsidRPr="006F74E2">
        <w:rPr>
          <w:rFonts w:ascii="Arial" w:hAnsi="Arial" w:cs="Arial"/>
          <w:lang w:val="en-US"/>
        </w:rPr>
        <w:t xml:space="preserve"> with the UE</w:t>
      </w:r>
      <w:r w:rsidR="00143508" w:rsidRPr="00531013">
        <w:rPr>
          <w:rFonts w:ascii="Arial" w:hAnsi="Arial" w:cs="Arial"/>
          <w:lang w:val="en-US"/>
        </w:rPr>
        <w:t>’s actual L2 buffer size.</w:t>
      </w:r>
      <w:r w:rsidRPr="00531013">
        <w:rPr>
          <w:rFonts w:ascii="Arial" w:hAnsi="Arial" w:cs="Arial"/>
          <w:lang w:val="en-US"/>
        </w:rPr>
        <w:t xml:space="preserve"> </w:t>
      </w:r>
    </w:p>
    <w:p w14:paraId="44E3A68A" w14:textId="16EE30DB" w:rsidR="00D9469A" w:rsidRDefault="00D9469A" w:rsidP="00D9469A">
      <w:pPr>
        <w:rPr>
          <w:rFonts w:ascii="Arial" w:hAnsi="Arial" w:cs="Arial"/>
          <w:lang w:val="en-US"/>
        </w:rPr>
      </w:pPr>
      <w:r>
        <w:rPr>
          <w:rFonts w:ascii="Arial" w:hAnsi="Arial" w:cs="Arial"/>
          <w:lang w:val="en-US"/>
        </w:rPr>
        <w:lastRenderedPageBreak/>
        <w:t xml:space="preserve">Based on the above reasons, the use </w:t>
      </w:r>
      <w:proofErr w:type="gramStart"/>
      <w:r>
        <w:rPr>
          <w:rFonts w:ascii="Arial" w:hAnsi="Arial" w:cs="Arial"/>
          <w:lang w:val="en-US"/>
        </w:rPr>
        <w:t>cases</w:t>
      </w:r>
      <w:proofErr w:type="gramEnd"/>
      <w:r>
        <w:rPr>
          <w:rFonts w:ascii="Arial" w:hAnsi="Arial" w:cs="Arial"/>
          <w:lang w:val="en-US"/>
        </w:rPr>
        <w:t xml:space="preserve"> and potential benefits by introducing new UE capability is unclear to us. Therefore, </w:t>
      </w:r>
      <w:proofErr w:type="gramStart"/>
      <w:r>
        <w:rPr>
          <w:rFonts w:ascii="Arial" w:hAnsi="Arial" w:cs="Arial"/>
          <w:lang w:val="en-US"/>
        </w:rPr>
        <w:t>in order to</w:t>
      </w:r>
      <w:proofErr w:type="gramEnd"/>
      <w:r>
        <w:rPr>
          <w:rFonts w:ascii="Arial" w:hAnsi="Arial" w:cs="Arial"/>
          <w:lang w:val="en-US"/>
        </w:rPr>
        <w:t xml:space="preserve"> limit design efforts for R17, we suggest that</w:t>
      </w:r>
    </w:p>
    <w:p w14:paraId="23DA78F8" w14:textId="5965D6C5" w:rsidR="00D9469A" w:rsidRDefault="00D9469A" w:rsidP="00D9469A">
      <w:pPr>
        <w:pStyle w:val="Proposal"/>
      </w:pPr>
      <w:bookmarkStart w:id="3" w:name="_Toc94710207"/>
      <w:r>
        <w:t xml:space="preserve">For </w:t>
      </w:r>
      <w:r w:rsidR="00797EF5">
        <w:t xml:space="preserve">NR </w:t>
      </w:r>
      <w:r>
        <w:t>operation in 71 GHz, n</w:t>
      </w:r>
      <w:r w:rsidRPr="00B23308">
        <w:t xml:space="preserve">o </w:t>
      </w:r>
      <w:r>
        <w:t>new UE capability and scaling factor is needed for indicating L2 buffer size requirement of the UE.</w:t>
      </w:r>
      <w:bookmarkEnd w:id="3"/>
    </w:p>
    <w:p w14:paraId="13CE50AB" w14:textId="0DB4155D" w:rsidR="002A61C9" w:rsidRDefault="002A61C9" w:rsidP="002A61C9">
      <w:pPr>
        <w:pStyle w:val="Heading2"/>
        <w:rPr>
          <w:rFonts w:eastAsia="Times New Roman"/>
        </w:rPr>
      </w:pPr>
      <w:r>
        <w:rPr>
          <w:rFonts w:asciiTheme="minorEastAsia" w:eastAsiaTheme="minorEastAsia" w:hAnsiTheme="minorEastAsia" w:hint="eastAsia"/>
          <w:lang w:eastAsia="zh-CN"/>
        </w:rPr>
        <w:t>2.</w:t>
      </w:r>
      <w:r w:rsidR="006267D4">
        <w:rPr>
          <w:rFonts w:asciiTheme="minorEastAsia" w:eastAsiaTheme="minorEastAsia" w:hAnsiTheme="minorEastAsia"/>
          <w:lang w:eastAsia="zh-CN"/>
        </w:rPr>
        <w:t>2</w:t>
      </w:r>
      <w:r>
        <w:rPr>
          <w:rFonts w:eastAsia="Times New Roman"/>
        </w:rPr>
        <w:t xml:space="preserve"> </w:t>
      </w:r>
      <w:r w:rsidR="006B2467">
        <w:rPr>
          <w:rFonts w:eastAsia="Times New Roman"/>
        </w:rPr>
        <w:t>Differentiation between licensed and no-LBT</w:t>
      </w:r>
    </w:p>
    <w:p w14:paraId="306C9961" w14:textId="200321B6" w:rsidR="002B3E30" w:rsidRPr="00541B53" w:rsidRDefault="002B3E30" w:rsidP="002B3E30">
      <w:pPr>
        <w:rPr>
          <w:rFonts w:ascii="Arial" w:hAnsi="Arial" w:cs="Arial"/>
        </w:rPr>
      </w:pPr>
      <w:r w:rsidRPr="00541B53">
        <w:rPr>
          <w:rFonts w:ascii="Arial" w:hAnsi="Arial" w:cs="Arial"/>
        </w:rPr>
        <w:t>There is one remaining issue on whether it is necessary for UE to distinguish between licensed operation and unlicensed operation without LBT. In our view, it is beneficial for UE to distinguish between licensed operation and unlicensed operation without LBT due to the following reasons.</w:t>
      </w:r>
    </w:p>
    <w:p w14:paraId="39549BAE" w14:textId="65A66BB2" w:rsidR="00A83AB7" w:rsidRPr="00137864" w:rsidRDefault="00A83AB7" w:rsidP="00A83AB7">
      <w:pPr>
        <w:pStyle w:val="ListParagraph"/>
        <w:numPr>
          <w:ilvl w:val="0"/>
          <w:numId w:val="57"/>
        </w:numPr>
        <w:rPr>
          <w:rFonts w:ascii="Arial" w:hAnsi="Arial" w:cs="Arial"/>
          <w:sz w:val="20"/>
          <w:szCs w:val="20"/>
        </w:rPr>
      </w:pPr>
      <w:r w:rsidRPr="00137864">
        <w:rPr>
          <w:rFonts w:ascii="Arial" w:hAnsi="Arial" w:cs="Arial"/>
          <w:sz w:val="20"/>
          <w:szCs w:val="20"/>
        </w:rPr>
        <w:t xml:space="preserve">For operation with shared spectrum channel access, </w:t>
      </w:r>
      <w:r w:rsidRPr="00137864">
        <w:rPr>
          <w:rFonts w:ascii="Arial" w:hAnsi="Arial" w:cs="Arial"/>
          <w:sz w:val="20"/>
          <w:szCs w:val="20"/>
          <w:lang w:val="en-US"/>
        </w:rPr>
        <w:t xml:space="preserve">different UE actions on PLMN selection, cell selection and cell reselection evaluation, compared to operation without shared spectrum channel access are specified in TS 38.304. </w:t>
      </w:r>
    </w:p>
    <w:p w14:paraId="09F18A84" w14:textId="39D1ADF5" w:rsidR="0019034B" w:rsidRPr="00137864" w:rsidRDefault="00DF11DC" w:rsidP="0019034B">
      <w:pPr>
        <w:pStyle w:val="ListParagraph"/>
        <w:numPr>
          <w:ilvl w:val="0"/>
          <w:numId w:val="57"/>
        </w:numPr>
        <w:rPr>
          <w:rFonts w:ascii="Arial" w:hAnsi="Arial" w:cs="Arial"/>
          <w:sz w:val="20"/>
          <w:szCs w:val="20"/>
          <w:lang w:eastAsia="en-GB"/>
        </w:rPr>
      </w:pPr>
      <w:r w:rsidRPr="00137864">
        <w:rPr>
          <w:rFonts w:ascii="Arial" w:hAnsi="Arial" w:cs="Arial"/>
          <w:sz w:val="20"/>
          <w:szCs w:val="20"/>
          <w:lang w:val="en-US"/>
        </w:rPr>
        <w:t xml:space="preserve">Per RAN1 agreement, </w:t>
      </w:r>
      <w:r w:rsidR="0019034B" w:rsidRPr="00137864">
        <w:rPr>
          <w:rStyle w:val="IvDbodytextChar"/>
          <w:rFonts w:eastAsia="Calibri" w:cs="Arial"/>
          <w:sz w:val="20"/>
          <w:szCs w:val="20"/>
        </w:rPr>
        <w:t>it is observed that for regions where LBT is not mandated, gNB will signal to the UE on the LBT mode, i.e., LBT mode or no-LBT mode. The signaling can be UE specific. In other words, a UE may apply no-LBT mode, while another UE may apply LBT mode. In addition, a UE may apply no-LBT mode for transmissions if they fulfil the rules of short control signaling, e.g., t</w:t>
      </w:r>
      <w:r w:rsidR="0019034B" w:rsidRPr="00137864">
        <w:rPr>
          <w:rFonts w:ascii="Arial" w:hAnsi="Arial" w:cs="Arial"/>
          <w:sz w:val="20"/>
          <w:szCs w:val="20"/>
        </w:rPr>
        <w:t>he 10% over any 100ms interval restriction is met.</w:t>
      </w:r>
      <w:r w:rsidR="0019034B" w:rsidRPr="00137864">
        <w:rPr>
          <w:rFonts w:ascii="Arial" w:hAnsi="Arial" w:cs="Arial"/>
          <w:sz w:val="20"/>
          <w:szCs w:val="20"/>
          <w:lang w:val="en-US"/>
        </w:rPr>
        <w:t xml:space="preserve"> </w:t>
      </w:r>
      <w:r w:rsidR="0019034B" w:rsidRPr="00137864">
        <w:rPr>
          <w:rFonts w:ascii="Arial" w:hAnsi="Arial" w:cs="Arial"/>
          <w:sz w:val="20"/>
          <w:szCs w:val="20"/>
          <w:lang w:eastAsia="en-GB"/>
        </w:rPr>
        <w:t xml:space="preserve">However, there </w:t>
      </w:r>
      <w:r w:rsidR="0019034B" w:rsidRPr="00137864">
        <w:rPr>
          <w:rFonts w:ascii="Arial" w:hAnsi="Arial" w:cs="Arial"/>
          <w:sz w:val="20"/>
          <w:szCs w:val="20"/>
          <w:lang w:val="sv-SE" w:eastAsia="en-GB"/>
        </w:rPr>
        <w:t>is potential</w:t>
      </w:r>
      <w:r w:rsidR="0019034B" w:rsidRPr="00137864">
        <w:rPr>
          <w:rFonts w:ascii="Arial" w:hAnsi="Arial" w:cs="Arial"/>
          <w:sz w:val="20"/>
          <w:szCs w:val="20"/>
          <w:lang w:eastAsia="en-GB"/>
        </w:rPr>
        <w:t xml:space="preserve"> issue foreseen.</w:t>
      </w:r>
    </w:p>
    <w:p w14:paraId="130A3557" w14:textId="73B677B9" w:rsidR="002B3E30" w:rsidRPr="00137864" w:rsidRDefault="0019034B" w:rsidP="0019034B">
      <w:pPr>
        <w:ind w:left="360"/>
        <w:rPr>
          <w:rFonts w:ascii="Arial" w:hAnsi="Arial" w:cs="Arial"/>
        </w:rPr>
      </w:pPr>
      <w:r w:rsidRPr="00137864">
        <w:rPr>
          <w:rFonts w:ascii="Arial" w:hAnsi="Arial" w:cs="Arial"/>
          <w:b/>
          <w:bCs/>
          <w:lang w:eastAsia="en-GB"/>
        </w:rPr>
        <w:t>Issue</w:t>
      </w:r>
      <w:r w:rsidRPr="00137864">
        <w:rPr>
          <w:rFonts w:ascii="Arial" w:hAnsi="Arial" w:cs="Arial"/>
          <w:lang w:eastAsia="en-GB"/>
        </w:rPr>
        <w:t xml:space="preserve">:  the UE has applied no-LBT mode for UL transmissions (e.g., SR or RACH e.g., Msg1 for the 4-step RA, or </w:t>
      </w:r>
      <w:proofErr w:type="spellStart"/>
      <w:r w:rsidRPr="00137864">
        <w:rPr>
          <w:rFonts w:ascii="Arial" w:hAnsi="Arial" w:cs="Arial"/>
          <w:lang w:eastAsia="en-GB"/>
        </w:rPr>
        <w:t>MsgA</w:t>
      </w:r>
      <w:proofErr w:type="spellEnd"/>
      <w:r w:rsidRPr="00137864">
        <w:rPr>
          <w:rFonts w:ascii="Arial" w:hAnsi="Arial" w:cs="Arial"/>
          <w:lang w:eastAsia="en-GB"/>
        </w:rPr>
        <w:t xml:space="preserve"> for the 2-step RA) which meet </w:t>
      </w:r>
      <w:r w:rsidRPr="00137864">
        <w:rPr>
          <w:rStyle w:val="IvDbodytextChar"/>
          <w:rFonts w:cs="Arial"/>
        </w:rPr>
        <w:t xml:space="preserve">the rules of short control signaling (10% </w:t>
      </w:r>
      <w:r w:rsidRPr="00137864">
        <w:rPr>
          <w:rFonts w:ascii="Arial" w:hAnsi="Arial" w:cs="Arial"/>
        </w:rPr>
        <w:t>over any 100ms intervals</w:t>
      </w:r>
      <w:r w:rsidRPr="00137864">
        <w:rPr>
          <w:rStyle w:val="IvDbodytextChar"/>
          <w:rFonts w:cs="Arial"/>
        </w:rPr>
        <w:t xml:space="preserve">) </w:t>
      </w:r>
      <w:r w:rsidRPr="00137864">
        <w:rPr>
          <w:rFonts w:ascii="Arial" w:hAnsi="Arial" w:cs="Arial"/>
          <w:lang w:eastAsia="en-GB"/>
        </w:rPr>
        <w:t xml:space="preserve">in regions where LBT is mandated. However, the UE still want to transmit more UL transmissions (e.g., SR or RACH) due to some failed SR or RACH (e.g., UE did not get feedback from gNB for those UL transmissions). Then, the UE could send a signal to the gNB to tell the gNB that it 10% budget of short control signalling has been </w:t>
      </w:r>
      <w:proofErr w:type="gramStart"/>
      <w:r w:rsidRPr="00137864">
        <w:rPr>
          <w:rFonts w:ascii="Arial" w:hAnsi="Arial" w:cs="Arial"/>
          <w:lang w:eastAsia="en-GB"/>
        </w:rPr>
        <w:t>exceeded, and</w:t>
      </w:r>
      <w:proofErr w:type="gramEnd"/>
      <w:r w:rsidRPr="00137864">
        <w:rPr>
          <w:rFonts w:ascii="Arial" w:hAnsi="Arial" w:cs="Arial"/>
          <w:lang w:eastAsia="en-GB"/>
        </w:rPr>
        <w:t xml:space="preserve"> request the gNB to schedule new UL transmit opportunities with LBT instead.</w:t>
      </w:r>
    </w:p>
    <w:p w14:paraId="5DCE4A5C" w14:textId="4E99ADBC" w:rsidR="002B3E30" w:rsidRPr="00137864" w:rsidRDefault="002363DA" w:rsidP="00A46C44">
      <w:pPr>
        <w:pStyle w:val="ListParagraph"/>
        <w:numPr>
          <w:ilvl w:val="0"/>
          <w:numId w:val="57"/>
        </w:numPr>
        <w:rPr>
          <w:rFonts w:ascii="Arial" w:hAnsi="Arial" w:cs="Arial"/>
          <w:sz w:val="20"/>
          <w:szCs w:val="20"/>
        </w:rPr>
      </w:pPr>
      <w:r w:rsidRPr="00137864">
        <w:rPr>
          <w:rFonts w:ascii="Arial" w:hAnsi="Arial" w:cs="Arial"/>
          <w:sz w:val="20"/>
          <w:szCs w:val="20"/>
          <w:lang w:val="en-US"/>
        </w:rPr>
        <w:t xml:space="preserve">In fallback DCI, </w:t>
      </w:r>
      <w:proofErr w:type="spellStart"/>
      <w:r w:rsidRPr="00137864">
        <w:rPr>
          <w:rFonts w:ascii="Arial" w:eastAsiaTheme="minorEastAsia" w:hAnsi="Arial" w:cs="Arial"/>
          <w:sz w:val="20"/>
          <w:szCs w:val="20"/>
          <w:lang w:eastAsia="zh-CN"/>
        </w:rPr>
        <w:t>ChannelAccess-Cpext</w:t>
      </w:r>
      <w:proofErr w:type="spellEnd"/>
      <w:r w:rsidRPr="00137864">
        <w:rPr>
          <w:rFonts w:ascii="Arial" w:eastAsiaTheme="minorEastAsia" w:hAnsi="Arial" w:cs="Arial"/>
          <w:sz w:val="20"/>
          <w:szCs w:val="20"/>
          <w:lang w:val="en-US" w:eastAsia="zh-CN"/>
        </w:rPr>
        <w:t xml:space="preserve"> field is only carried in case of shared spectrum channel access</w:t>
      </w:r>
      <w:r w:rsidR="00AC725C">
        <w:rPr>
          <w:rFonts w:ascii="Arial" w:eastAsiaTheme="minorEastAsia" w:hAnsi="Arial" w:cs="Arial"/>
          <w:sz w:val="20"/>
          <w:szCs w:val="20"/>
          <w:lang w:val="en-US" w:eastAsia="zh-CN"/>
        </w:rPr>
        <w:t xml:space="preserve"> operation</w:t>
      </w:r>
      <w:r w:rsidRPr="00137864">
        <w:rPr>
          <w:rFonts w:ascii="Arial" w:eastAsiaTheme="minorEastAsia" w:hAnsi="Arial" w:cs="Arial"/>
          <w:sz w:val="20"/>
          <w:szCs w:val="20"/>
          <w:lang w:val="en-US" w:eastAsia="zh-CN"/>
        </w:rPr>
        <w:t xml:space="preserve">. Otherwise, this field is absent. </w:t>
      </w:r>
      <w:proofErr w:type="gramStart"/>
      <w:r w:rsidRPr="00137864">
        <w:rPr>
          <w:rFonts w:ascii="Arial" w:eastAsiaTheme="minorEastAsia" w:hAnsi="Arial" w:cs="Arial"/>
          <w:sz w:val="20"/>
          <w:szCs w:val="20"/>
          <w:lang w:val="en-US" w:eastAsia="zh-CN"/>
        </w:rPr>
        <w:t>In order to</w:t>
      </w:r>
      <w:proofErr w:type="gramEnd"/>
      <w:r w:rsidRPr="00137864">
        <w:rPr>
          <w:rFonts w:ascii="Arial" w:eastAsiaTheme="minorEastAsia" w:hAnsi="Arial" w:cs="Arial"/>
          <w:sz w:val="20"/>
          <w:szCs w:val="20"/>
          <w:lang w:val="en-US" w:eastAsia="zh-CN"/>
        </w:rPr>
        <w:t xml:space="preserve"> decode the fallback DCI correctly, UE needs to know whether it is licensed operation or unlicensed without LBT. </w:t>
      </w:r>
    </w:p>
    <w:p w14:paraId="50A45831" w14:textId="77777777" w:rsidR="006B2467" w:rsidRPr="006B2467" w:rsidRDefault="006B2467" w:rsidP="006B2467"/>
    <w:p w14:paraId="73A511C5" w14:textId="2AA6CD78" w:rsidR="00A02E61" w:rsidRPr="00CA0D1F" w:rsidRDefault="004F4213" w:rsidP="00A02E61">
      <w:pPr>
        <w:pStyle w:val="Observation"/>
      </w:pPr>
      <w:bookmarkStart w:id="4" w:name="_Toc94710213"/>
      <w:r>
        <w:rPr>
          <w:rFonts w:cs="Arial"/>
        </w:rPr>
        <w:t>It is necessary for UE to distinguish between licensed operation and unlicensed operation without LBT</w:t>
      </w:r>
      <w:r w:rsidR="00A02E61">
        <w:rPr>
          <w:rFonts w:cs="Arial"/>
        </w:rPr>
        <w:t>.</w:t>
      </w:r>
      <w:bookmarkEnd w:id="4"/>
      <w:r w:rsidR="00A02E61">
        <w:rPr>
          <w:rFonts w:cs="Arial"/>
        </w:rPr>
        <w:t xml:space="preserve"> </w:t>
      </w:r>
    </w:p>
    <w:p w14:paraId="73C5CCE1" w14:textId="310774B4" w:rsidR="00A02E61" w:rsidRDefault="00AE3C38" w:rsidP="00E7649E">
      <w:pPr>
        <w:pStyle w:val="paragraph"/>
        <w:jc w:val="both"/>
        <w:textAlignment w:val="baseline"/>
        <w:rPr>
          <w:rFonts w:ascii="Arial" w:hAnsi="Arial" w:cs="Arial"/>
        </w:rPr>
      </w:pPr>
      <w:r>
        <w:rPr>
          <w:rFonts w:ascii="Arial" w:hAnsi="Arial" w:cs="Arial"/>
        </w:rPr>
        <w:t xml:space="preserve">In addition, it has been agreed to use different band numbers for licensed operation and </w:t>
      </w:r>
      <w:r w:rsidR="001048D2">
        <w:rPr>
          <w:szCs w:val="18"/>
          <w:lang w:eastAsia="x-none"/>
        </w:rPr>
        <w:t xml:space="preserve">shared spectrum </w:t>
      </w:r>
      <w:r>
        <w:rPr>
          <w:rFonts w:ascii="Arial" w:hAnsi="Arial" w:cs="Arial"/>
        </w:rPr>
        <w:t xml:space="preserve">operation. Since the band number is signalled in SIB1, which is sufficient for UE to derive whether the carrier is licensed or unlicensed. </w:t>
      </w:r>
    </w:p>
    <w:p w14:paraId="0C154540" w14:textId="0E6AA130" w:rsidR="00AE3C38" w:rsidRPr="00CA0D1F" w:rsidRDefault="00AE3C38" w:rsidP="00AE3C38">
      <w:pPr>
        <w:pStyle w:val="Observation"/>
      </w:pPr>
      <w:bookmarkStart w:id="5" w:name="_Toc94710214"/>
      <w:r>
        <w:rPr>
          <w:rFonts w:cs="Arial"/>
        </w:rPr>
        <w:t xml:space="preserve">UE can derive whether the carrier is </w:t>
      </w:r>
      <w:r w:rsidR="001048D2">
        <w:rPr>
          <w:rFonts w:cs="Arial"/>
        </w:rPr>
        <w:t>licensed,</w:t>
      </w:r>
      <w:r>
        <w:rPr>
          <w:rFonts w:cs="Arial"/>
        </w:rPr>
        <w:t xml:space="preserve"> or </w:t>
      </w:r>
      <w:r w:rsidR="001048D2">
        <w:rPr>
          <w:szCs w:val="18"/>
          <w:lang w:eastAsia="x-none"/>
        </w:rPr>
        <w:t xml:space="preserve">shared spectrum </w:t>
      </w:r>
      <w:r>
        <w:rPr>
          <w:rFonts w:cs="Arial"/>
        </w:rPr>
        <w:t>based on the band number signalled in SIB1.</w:t>
      </w:r>
      <w:bookmarkEnd w:id="5"/>
      <w:r>
        <w:rPr>
          <w:rFonts w:cs="Arial"/>
        </w:rPr>
        <w:t xml:space="preserve"> </w:t>
      </w:r>
    </w:p>
    <w:p w14:paraId="2996750D" w14:textId="2494DEF8" w:rsidR="00AE3C38" w:rsidRPr="003B0815" w:rsidRDefault="006D7175" w:rsidP="00E7649E">
      <w:pPr>
        <w:pStyle w:val="paragraph"/>
        <w:jc w:val="both"/>
        <w:textAlignment w:val="baseline"/>
        <w:rPr>
          <w:rFonts w:ascii="Arial" w:hAnsi="Arial" w:cs="Arial"/>
        </w:rPr>
      </w:pPr>
      <w:r>
        <w:rPr>
          <w:rFonts w:ascii="Arial" w:hAnsi="Arial" w:cs="Arial"/>
        </w:rPr>
        <w:t>Therefore, we give the following proposal</w:t>
      </w:r>
    </w:p>
    <w:p w14:paraId="5E2796C7" w14:textId="2F33B7B2" w:rsidR="005B1D21" w:rsidRDefault="006D7175" w:rsidP="005B1D21">
      <w:pPr>
        <w:pStyle w:val="Proposal"/>
      </w:pPr>
      <w:bookmarkStart w:id="6" w:name="_Toc94710208"/>
      <w:r>
        <w:rPr>
          <w:rFonts w:cs="Arial"/>
        </w:rPr>
        <w:t xml:space="preserve">UE can derive whether the carrier is </w:t>
      </w:r>
      <w:proofErr w:type="gramStart"/>
      <w:r>
        <w:rPr>
          <w:rFonts w:cs="Arial"/>
        </w:rPr>
        <w:t>licensed</w:t>
      </w:r>
      <w:proofErr w:type="gramEnd"/>
      <w:r>
        <w:rPr>
          <w:rFonts w:cs="Arial"/>
        </w:rPr>
        <w:t xml:space="preserve"> or </w:t>
      </w:r>
      <w:r w:rsidR="004C5F2E">
        <w:rPr>
          <w:szCs w:val="18"/>
          <w:lang w:eastAsia="x-none"/>
        </w:rPr>
        <w:t xml:space="preserve">shared spectrum </w:t>
      </w:r>
      <w:r>
        <w:rPr>
          <w:rFonts w:cs="Arial"/>
        </w:rPr>
        <w:t xml:space="preserve">based on the band number signalled in SIB1, therefore </w:t>
      </w:r>
      <w:r>
        <w:rPr>
          <w:szCs w:val="18"/>
          <w:lang w:eastAsia="x-none"/>
        </w:rPr>
        <w:t>separate indication for licensed vs shared spectrum without LBT mode is not needed for the parameter “channelAccessMode2”</w:t>
      </w:r>
      <w:r w:rsidR="005B1D21" w:rsidRPr="0013140C">
        <w:t>.</w:t>
      </w:r>
      <w:bookmarkEnd w:id="6"/>
    </w:p>
    <w:p w14:paraId="0CF6040A" w14:textId="04F54237" w:rsidR="00064E39" w:rsidRPr="00CE0424" w:rsidRDefault="00E97523" w:rsidP="00064E39">
      <w:pPr>
        <w:pStyle w:val="Heading1"/>
      </w:pPr>
      <w:bookmarkStart w:id="7" w:name="_Toc70424553"/>
      <w:bookmarkStart w:id="8" w:name="_Ref189046994"/>
      <w:bookmarkEnd w:id="7"/>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5113E4E8" w14:textId="0285446A" w:rsidR="00541B53" w:rsidRDefault="00064E39">
      <w:pPr>
        <w:pStyle w:val="TableofFigures"/>
        <w:tabs>
          <w:tab w:val="right" w:leader="dot" w:pos="9629"/>
        </w:tabs>
        <w:rPr>
          <w:rFonts w:asciiTheme="minorHAnsi" w:eastAsiaTheme="minorEastAsia" w:hAnsiTheme="minorHAnsi" w:cstheme="minorBidi"/>
          <w:b w:val="0"/>
          <w:noProof/>
          <w:sz w:val="22"/>
          <w:szCs w:val="22"/>
          <w:lang w:val="sv-SE" w:eastAsia="zh-CN"/>
        </w:rPr>
      </w:pPr>
      <w:r>
        <w:rPr>
          <w:b w:val="0"/>
          <w:bCs/>
        </w:rPr>
        <w:fldChar w:fldCharType="begin"/>
      </w:r>
      <w:r>
        <w:rPr>
          <w:b w:val="0"/>
          <w:bCs/>
        </w:rPr>
        <w:instrText xml:space="preserve"> TOC \f O \n \h \z \t "Observation" \c </w:instrText>
      </w:r>
      <w:r>
        <w:rPr>
          <w:b w:val="0"/>
          <w:bCs/>
        </w:rPr>
        <w:fldChar w:fldCharType="separate"/>
      </w:r>
      <w:hyperlink w:anchor="_Toc94710213" w:history="1">
        <w:r w:rsidR="00541B53" w:rsidRPr="00DA3187">
          <w:rPr>
            <w:rStyle w:val="Hyperlink"/>
            <w:noProof/>
          </w:rPr>
          <w:t>Observation 1</w:t>
        </w:r>
        <w:r w:rsidR="00541B53">
          <w:rPr>
            <w:rFonts w:asciiTheme="minorHAnsi" w:eastAsiaTheme="minorEastAsia" w:hAnsiTheme="minorHAnsi" w:cstheme="minorBidi"/>
            <w:b w:val="0"/>
            <w:noProof/>
            <w:sz w:val="22"/>
            <w:szCs w:val="22"/>
            <w:lang w:val="sv-SE" w:eastAsia="zh-CN"/>
          </w:rPr>
          <w:tab/>
        </w:r>
        <w:r w:rsidR="00541B53" w:rsidRPr="00DA3187">
          <w:rPr>
            <w:rStyle w:val="Hyperlink"/>
            <w:rFonts w:cs="Arial"/>
            <w:noProof/>
          </w:rPr>
          <w:t>It is necessary for UE to distinguish between licensed operation and unlicensed operation without LBT.</w:t>
        </w:r>
      </w:hyperlink>
    </w:p>
    <w:p w14:paraId="034177BE" w14:textId="4C9D3951" w:rsidR="00541B53" w:rsidRDefault="001E47B0">
      <w:pPr>
        <w:pStyle w:val="TableofFigures"/>
        <w:tabs>
          <w:tab w:val="right" w:leader="dot" w:pos="9629"/>
        </w:tabs>
        <w:rPr>
          <w:rFonts w:asciiTheme="minorHAnsi" w:eastAsiaTheme="minorEastAsia" w:hAnsiTheme="minorHAnsi" w:cstheme="minorBidi"/>
          <w:b w:val="0"/>
          <w:noProof/>
          <w:sz w:val="22"/>
          <w:szCs w:val="22"/>
          <w:lang w:val="sv-SE" w:eastAsia="zh-CN"/>
        </w:rPr>
      </w:pPr>
      <w:hyperlink w:anchor="_Toc94710214" w:history="1">
        <w:r w:rsidR="00541B53" w:rsidRPr="00DA3187">
          <w:rPr>
            <w:rStyle w:val="Hyperlink"/>
            <w:noProof/>
          </w:rPr>
          <w:t>Observation 2</w:t>
        </w:r>
        <w:r w:rsidR="00541B53">
          <w:rPr>
            <w:rFonts w:asciiTheme="minorHAnsi" w:eastAsiaTheme="minorEastAsia" w:hAnsiTheme="minorHAnsi" w:cstheme="minorBidi"/>
            <w:b w:val="0"/>
            <w:noProof/>
            <w:sz w:val="22"/>
            <w:szCs w:val="22"/>
            <w:lang w:val="sv-SE" w:eastAsia="zh-CN"/>
          </w:rPr>
          <w:tab/>
        </w:r>
        <w:r w:rsidR="00541B53" w:rsidRPr="00DA3187">
          <w:rPr>
            <w:rStyle w:val="Hyperlink"/>
            <w:rFonts w:cs="Arial"/>
            <w:noProof/>
          </w:rPr>
          <w:t xml:space="preserve">UE can derive whether the carrier is licensed, or </w:t>
        </w:r>
        <w:r w:rsidR="00541B53" w:rsidRPr="00DA3187">
          <w:rPr>
            <w:rStyle w:val="Hyperlink"/>
            <w:noProof/>
            <w:lang w:eastAsia="x-none"/>
          </w:rPr>
          <w:t xml:space="preserve">shared spectrum </w:t>
        </w:r>
        <w:r w:rsidR="00541B53" w:rsidRPr="00DA3187">
          <w:rPr>
            <w:rStyle w:val="Hyperlink"/>
            <w:rFonts w:cs="Arial"/>
            <w:noProof/>
          </w:rPr>
          <w:t>based on the band number signalled in SIB1.</w:t>
        </w:r>
      </w:hyperlink>
    </w:p>
    <w:p w14:paraId="7DC46F5D" w14:textId="1CD6CE33" w:rsidR="00064E39" w:rsidRDefault="00064E39" w:rsidP="00064E39">
      <w:pPr>
        <w:pStyle w:val="BodyText"/>
        <w:rPr>
          <w:b/>
          <w:bCs/>
        </w:rPr>
      </w:pPr>
      <w:r>
        <w:rPr>
          <w:b/>
          <w:bCs/>
        </w:rPr>
        <w:lastRenderedPageBreak/>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31A48515" w14:textId="6E730EE2" w:rsidR="00541B53" w:rsidRDefault="00064E39">
      <w:pPr>
        <w:pStyle w:val="TableofFigures"/>
        <w:tabs>
          <w:tab w:val="right" w:leader="dot" w:pos="9629"/>
        </w:tabs>
        <w:rPr>
          <w:rFonts w:asciiTheme="minorHAnsi" w:eastAsiaTheme="minorEastAsia" w:hAnsiTheme="minorHAnsi" w:cstheme="minorBidi"/>
          <w:b w:val="0"/>
          <w:noProof/>
          <w:sz w:val="22"/>
          <w:szCs w:val="22"/>
          <w:lang w:val="sv-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4710207" w:history="1">
        <w:r w:rsidR="00541B53" w:rsidRPr="005B3633">
          <w:rPr>
            <w:rStyle w:val="Hyperlink"/>
            <w:noProof/>
          </w:rPr>
          <w:t>Proposal 1</w:t>
        </w:r>
        <w:r w:rsidR="00541B53">
          <w:rPr>
            <w:rFonts w:asciiTheme="minorHAnsi" w:eastAsiaTheme="minorEastAsia" w:hAnsiTheme="minorHAnsi" w:cstheme="minorBidi"/>
            <w:b w:val="0"/>
            <w:noProof/>
            <w:sz w:val="22"/>
            <w:szCs w:val="22"/>
            <w:lang w:val="sv-SE" w:eastAsia="zh-CN"/>
          </w:rPr>
          <w:tab/>
        </w:r>
        <w:r w:rsidR="00541B53" w:rsidRPr="005B3633">
          <w:rPr>
            <w:rStyle w:val="Hyperlink"/>
            <w:noProof/>
          </w:rPr>
          <w:t>For NR operation in 71 GHz, no new UE capability and scaling factor is needed for indicating L2 buffer size requirement of the UE.</w:t>
        </w:r>
      </w:hyperlink>
    </w:p>
    <w:p w14:paraId="0F924ADA" w14:textId="0B0FCE0D" w:rsidR="00541B53" w:rsidRDefault="001E47B0">
      <w:pPr>
        <w:pStyle w:val="TableofFigures"/>
        <w:tabs>
          <w:tab w:val="right" w:leader="dot" w:pos="9629"/>
        </w:tabs>
        <w:rPr>
          <w:rFonts w:asciiTheme="minorHAnsi" w:eastAsiaTheme="minorEastAsia" w:hAnsiTheme="minorHAnsi" w:cstheme="minorBidi"/>
          <w:b w:val="0"/>
          <w:noProof/>
          <w:sz w:val="22"/>
          <w:szCs w:val="22"/>
          <w:lang w:val="sv-SE" w:eastAsia="zh-CN"/>
        </w:rPr>
      </w:pPr>
      <w:hyperlink w:anchor="_Toc94710208" w:history="1">
        <w:r w:rsidR="00541B53" w:rsidRPr="005B3633">
          <w:rPr>
            <w:rStyle w:val="Hyperlink"/>
            <w:noProof/>
          </w:rPr>
          <w:t>Proposal 2</w:t>
        </w:r>
        <w:r w:rsidR="00541B53">
          <w:rPr>
            <w:rFonts w:asciiTheme="minorHAnsi" w:eastAsiaTheme="minorEastAsia" w:hAnsiTheme="minorHAnsi" w:cstheme="minorBidi"/>
            <w:b w:val="0"/>
            <w:noProof/>
            <w:sz w:val="22"/>
            <w:szCs w:val="22"/>
            <w:lang w:val="sv-SE" w:eastAsia="zh-CN"/>
          </w:rPr>
          <w:tab/>
        </w:r>
        <w:r w:rsidR="00541B53" w:rsidRPr="005B3633">
          <w:rPr>
            <w:rStyle w:val="Hyperlink"/>
            <w:rFonts w:cs="Arial"/>
            <w:noProof/>
          </w:rPr>
          <w:t xml:space="preserve">UE can derive whether the carrier is licensed or </w:t>
        </w:r>
        <w:r w:rsidR="00541B53" w:rsidRPr="005B3633">
          <w:rPr>
            <w:rStyle w:val="Hyperlink"/>
            <w:noProof/>
            <w:lang w:eastAsia="x-none"/>
          </w:rPr>
          <w:t xml:space="preserve">shared spectrum </w:t>
        </w:r>
        <w:r w:rsidR="00541B53" w:rsidRPr="005B3633">
          <w:rPr>
            <w:rStyle w:val="Hyperlink"/>
            <w:rFonts w:cs="Arial"/>
            <w:noProof/>
          </w:rPr>
          <w:t xml:space="preserve">based on the band number signalled in SIB1, therefore </w:t>
        </w:r>
        <w:r w:rsidR="00541B53" w:rsidRPr="005B3633">
          <w:rPr>
            <w:rStyle w:val="Hyperlink"/>
            <w:noProof/>
            <w:lang w:eastAsia="x-none"/>
          </w:rPr>
          <w:t>separate indication for licensed vs shared spectrum without LBT mode is not needed for the parameter “channelAccessMode2”</w:t>
        </w:r>
        <w:r w:rsidR="00541B53" w:rsidRPr="005B3633">
          <w:rPr>
            <w:rStyle w:val="Hyperlink"/>
            <w:noProof/>
          </w:rPr>
          <w:t>.</w:t>
        </w:r>
      </w:hyperlink>
    </w:p>
    <w:p w14:paraId="6AB824BA" w14:textId="21A495E9"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8"/>
    <w:p w14:paraId="59DCC8E3" w14:textId="7A1CEFA6" w:rsidR="00216006" w:rsidRPr="006B35C3" w:rsidRDefault="00216006" w:rsidP="00216006">
      <w:pPr>
        <w:pStyle w:val="ListParagraph"/>
        <w:widowControl w:val="0"/>
        <w:numPr>
          <w:ilvl w:val="0"/>
          <w:numId w:val="36"/>
        </w:numPr>
        <w:spacing w:before="156" w:after="120"/>
        <w:contextualSpacing/>
        <w:jc w:val="both"/>
        <w:textAlignment w:val="auto"/>
        <w:rPr>
          <w:rFonts w:ascii="Arial" w:hAnsi="Arial" w:cs="Arial"/>
          <w:bCs/>
          <w:sz w:val="20"/>
          <w:szCs w:val="20"/>
          <w:lang w:val="en-GB"/>
        </w:rPr>
      </w:pPr>
      <w:r w:rsidRPr="006B35C3">
        <w:rPr>
          <w:rFonts w:ascii="Arial" w:hAnsi="Arial" w:cs="Arial"/>
          <w:bCs/>
          <w:noProof/>
          <w:sz w:val="20"/>
          <w:szCs w:val="20"/>
        </w:rPr>
        <w:t>RP-21</w:t>
      </w:r>
      <w:r w:rsidRPr="006B35C3">
        <w:rPr>
          <w:rFonts w:ascii="Arial" w:hAnsi="Arial" w:cs="Arial"/>
          <w:bCs/>
          <w:noProof/>
          <w:sz w:val="20"/>
          <w:szCs w:val="20"/>
          <w:lang w:eastAsia="zh-CN"/>
        </w:rPr>
        <w:t>1584</w:t>
      </w:r>
      <w:r w:rsidRPr="006B35C3">
        <w:rPr>
          <w:rFonts w:ascii="Arial" w:hAnsi="Arial" w:cs="Arial"/>
          <w:bCs/>
          <w:sz w:val="20"/>
          <w:szCs w:val="20"/>
        </w:rPr>
        <w:t xml:space="preserve">, </w:t>
      </w:r>
      <w:r w:rsidRPr="006B35C3">
        <w:rPr>
          <w:rFonts w:ascii="Arial" w:eastAsia="Batang" w:hAnsi="Arial" w:cs="Arial"/>
          <w:bCs/>
          <w:sz w:val="20"/>
          <w:szCs w:val="20"/>
          <w:lang w:eastAsia="zh-CN"/>
        </w:rPr>
        <w:t>Revised WID:  Extending current NR operation to 71 GHz</w:t>
      </w:r>
      <w:r w:rsidRPr="006B35C3">
        <w:rPr>
          <w:rFonts w:ascii="Arial" w:hAnsi="Arial" w:cs="Arial"/>
          <w:bCs/>
          <w:sz w:val="20"/>
          <w:szCs w:val="20"/>
        </w:rPr>
        <w:t>, RAN #9</w:t>
      </w:r>
      <w:r w:rsidRPr="006B35C3">
        <w:rPr>
          <w:rFonts w:ascii="Arial" w:hAnsi="Arial" w:cs="Arial"/>
          <w:bCs/>
          <w:sz w:val="20"/>
          <w:szCs w:val="20"/>
          <w:lang w:val="en-US"/>
        </w:rPr>
        <w:t>2</w:t>
      </w:r>
      <w:r w:rsidRPr="006B35C3">
        <w:rPr>
          <w:rFonts w:ascii="Arial" w:hAnsi="Arial" w:cs="Arial"/>
          <w:bCs/>
          <w:sz w:val="20"/>
          <w:szCs w:val="20"/>
        </w:rPr>
        <w:t xml:space="preserve">e, </w:t>
      </w:r>
      <w:r w:rsidRPr="006B35C3">
        <w:rPr>
          <w:rFonts w:ascii="Arial" w:hAnsi="Arial" w:cs="Arial"/>
          <w:bCs/>
          <w:sz w:val="20"/>
          <w:szCs w:val="20"/>
          <w:lang w:val="en-US"/>
        </w:rPr>
        <w:t>June</w:t>
      </w:r>
      <w:r w:rsidRPr="006B35C3">
        <w:rPr>
          <w:rFonts w:ascii="Arial" w:hAnsi="Arial" w:cs="Arial"/>
          <w:bCs/>
          <w:sz w:val="20"/>
          <w:szCs w:val="20"/>
        </w:rPr>
        <w:t xml:space="preserve"> </w:t>
      </w:r>
      <w:r w:rsidRPr="006B35C3">
        <w:rPr>
          <w:rFonts w:ascii="Arial" w:hAnsi="Arial" w:cs="Arial"/>
          <w:bCs/>
          <w:sz w:val="20"/>
          <w:szCs w:val="20"/>
          <w:lang w:val="en-US"/>
        </w:rPr>
        <w:t>14</w:t>
      </w:r>
      <w:r w:rsidRPr="006B35C3">
        <w:rPr>
          <w:rFonts w:ascii="Arial" w:hAnsi="Arial" w:cs="Arial"/>
          <w:bCs/>
          <w:sz w:val="20"/>
          <w:szCs w:val="20"/>
        </w:rPr>
        <w:t xml:space="preserve">- </w:t>
      </w:r>
      <w:r w:rsidRPr="006B35C3">
        <w:rPr>
          <w:rFonts w:ascii="Arial" w:hAnsi="Arial" w:cs="Arial"/>
          <w:bCs/>
          <w:sz w:val="20"/>
          <w:szCs w:val="20"/>
          <w:lang w:val="en-US"/>
        </w:rPr>
        <w:t>June</w:t>
      </w:r>
      <w:r w:rsidRPr="006B35C3">
        <w:rPr>
          <w:rFonts w:ascii="Arial" w:hAnsi="Arial" w:cs="Arial"/>
          <w:bCs/>
          <w:sz w:val="20"/>
          <w:szCs w:val="20"/>
        </w:rPr>
        <w:t xml:space="preserve"> </w:t>
      </w:r>
      <w:r w:rsidRPr="006B35C3">
        <w:rPr>
          <w:rFonts w:ascii="Arial" w:hAnsi="Arial" w:cs="Arial"/>
          <w:bCs/>
          <w:sz w:val="20"/>
          <w:szCs w:val="20"/>
          <w:lang w:val="en-US"/>
        </w:rPr>
        <w:t>18</w:t>
      </w:r>
      <w:r w:rsidRPr="006B35C3">
        <w:rPr>
          <w:rFonts w:ascii="Arial" w:hAnsi="Arial" w:cs="Arial"/>
          <w:bCs/>
          <w:sz w:val="20"/>
          <w:szCs w:val="20"/>
        </w:rPr>
        <w:t>, 2021.</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927FB" w14:textId="77777777" w:rsidR="00BC6BD8" w:rsidRDefault="00BC6BD8">
      <w:r>
        <w:separator/>
      </w:r>
    </w:p>
  </w:endnote>
  <w:endnote w:type="continuationSeparator" w:id="0">
    <w:p w14:paraId="57C336B1" w14:textId="77777777" w:rsidR="00BC6BD8" w:rsidRDefault="00BC6BD8">
      <w:r>
        <w:continuationSeparator/>
      </w:r>
    </w:p>
  </w:endnote>
  <w:endnote w:type="continuationNotice" w:id="1">
    <w:p w14:paraId="243BF74E" w14:textId="77777777" w:rsidR="00BC6BD8" w:rsidRDefault="00BC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09409" w14:textId="77777777" w:rsidR="00BC6BD8" w:rsidRDefault="00BC6BD8">
      <w:r>
        <w:separator/>
      </w:r>
    </w:p>
  </w:footnote>
  <w:footnote w:type="continuationSeparator" w:id="0">
    <w:p w14:paraId="38DD6DEB" w14:textId="77777777" w:rsidR="00BC6BD8" w:rsidRDefault="00BC6BD8">
      <w:r>
        <w:continuationSeparator/>
      </w:r>
    </w:p>
  </w:footnote>
  <w:footnote w:type="continuationNotice" w:id="1">
    <w:p w14:paraId="10E8E558" w14:textId="77777777" w:rsidR="00BC6BD8" w:rsidRDefault="00BC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BEB579D"/>
    <w:multiLevelType w:val="hybridMultilevel"/>
    <w:tmpl w:val="BD2822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E77889"/>
    <w:multiLevelType w:val="hybridMultilevel"/>
    <w:tmpl w:val="5712DA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1183EE7"/>
    <w:multiLevelType w:val="hybridMultilevel"/>
    <w:tmpl w:val="DE3C50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4050AC7"/>
    <w:multiLevelType w:val="hybridMultilevel"/>
    <w:tmpl w:val="45E6DAF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5450B4A"/>
    <w:multiLevelType w:val="hybridMultilevel"/>
    <w:tmpl w:val="ACD037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B8B2D65"/>
    <w:multiLevelType w:val="hybridMultilevel"/>
    <w:tmpl w:val="76D2D742"/>
    <w:lvl w:ilvl="0" w:tplc="8168F94C">
      <w:start w:val="1"/>
      <w:numFmt w:val="decimal"/>
      <w:lvlText w:val="%1)"/>
      <w:lvlJc w:val="left"/>
      <w:pPr>
        <w:ind w:left="360" w:hanging="360"/>
      </w:pPr>
      <w:rPr>
        <w:rFonts w:ascii="Times New Roman" w:hAnsi="Times New Roman" w:cs="Times New Roman" w:hint="default"/>
        <w:sz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2B95385D"/>
    <w:multiLevelType w:val="hybridMultilevel"/>
    <w:tmpl w:val="EA1E3E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5E42007"/>
    <w:multiLevelType w:val="hybridMultilevel"/>
    <w:tmpl w:val="ECC4DB60"/>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8"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D3D16E3"/>
    <w:multiLevelType w:val="hybridMultilevel"/>
    <w:tmpl w:val="27EE45B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F72F00"/>
    <w:multiLevelType w:val="hybridMultilevel"/>
    <w:tmpl w:val="7D3615BC"/>
    <w:lvl w:ilvl="0" w:tplc="3EDAB784">
      <w:numFmt w:val="bullet"/>
      <w:lvlText w:val="-"/>
      <w:lvlJc w:val="left"/>
      <w:pPr>
        <w:ind w:left="852" w:hanging="420"/>
      </w:pPr>
      <w:rPr>
        <w:rFonts w:ascii="Times New Roman" w:eastAsia="SimSun"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4" w15:restartNumberingAfterBreak="0">
    <w:nsid w:val="455331EC"/>
    <w:multiLevelType w:val="hybridMultilevel"/>
    <w:tmpl w:val="B0506756"/>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5" w15:restartNumberingAfterBreak="0">
    <w:nsid w:val="4A4E5D48"/>
    <w:multiLevelType w:val="hybridMultilevel"/>
    <w:tmpl w:val="A31E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DFA7C39"/>
    <w:multiLevelType w:val="hybridMultilevel"/>
    <w:tmpl w:val="E7B0CB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7BE2F96"/>
    <w:multiLevelType w:val="hybridMultilevel"/>
    <w:tmpl w:val="149866DA"/>
    <w:lvl w:ilvl="0" w:tplc="D2A6C4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5E028E"/>
    <w:multiLevelType w:val="hybridMultilevel"/>
    <w:tmpl w:val="51BE547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73183F22"/>
    <w:multiLevelType w:val="hybridMultilevel"/>
    <w:tmpl w:val="53F0B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7BF1A3A"/>
    <w:multiLevelType w:val="hybridMultilevel"/>
    <w:tmpl w:val="BA2846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7D5201E1"/>
    <w:multiLevelType w:val="hybridMultilevel"/>
    <w:tmpl w:val="831E8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36"/>
  </w:num>
  <w:num w:numId="3">
    <w:abstractNumId w:val="27"/>
  </w:num>
  <w:num w:numId="4">
    <w:abstractNumId w:val="29"/>
  </w:num>
  <w:num w:numId="5">
    <w:abstractNumId w:val="23"/>
  </w:num>
  <w:num w:numId="6">
    <w:abstractNumId w:val="32"/>
  </w:num>
  <w:num w:numId="7">
    <w:abstractNumId w:val="40"/>
  </w:num>
  <w:num w:numId="8">
    <w:abstractNumId w:val="24"/>
  </w:num>
  <w:num w:numId="9">
    <w:abstractNumId w:val="20"/>
  </w:num>
  <w:num w:numId="10">
    <w:abstractNumId w:val="2"/>
  </w:num>
  <w:num w:numId="11">
    <w:abstractNumId w:val="1"/>
  </w:num>
  <w:num w:numId="12">
    <w:abstractNumId w:val="0"/>
  </w:num>
  <w:num w:numId="13">
    <w:abstractNumId w:val="37"/>
  </w:num>
  <w:num w:numId="14">
    <w:abstractNumId w:val="39"/>
  </w:num>
  <w:num w:numId="15">
    <w:abstractNumId w:val="31"/>
  </w:num>
  <w:num w:numId="16">
    <w:abstractNumId w:val="41"/>
  </w:num>
  <w:num w:numId="17">
    <w:abstractNumId w:val="13"/>
  </w:num>
  <w:num w:numId="18">
    <w:abstractNumId w:val="18"/>
  </w:num>
  <w:num w:numId="19">
    <w:abstractNumId w:val="6"/>
  </w:num>
  <w:num w:numId="20">
    <w:abstractNumId w:val="50"/>
  </w:num>
  <w:num w:numId="21">
    <w:abstractNumId w:val="25"/>
  </w:num>
  <w:num w:numId="22">
    <w:abstractNumId w:val="46"/>
  </w:num>
  <w:num w:numId="23">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53"/>
  </w:num>
  <w:num w:numId="26">
    <w:abstractNumId w:val="12"/>
  </w:num>
  <w:num w:numId="27">
    <w:abstractNumId w:val="7"/>
  </w:num>
  <w:num w:numId="28">
    <w:abstractNumId w:val="8"/>
  </w:num>
  <w:num w:numId="29">
    <w:abstractNumId w:val="45"/>
  </w:num>
  <w:num w:numId="30">
    <w:abstractNumId w:val="4"/>
  </w:num>
  <w:num w:numId="31">
    <w:abstractNumId w:val="14"/>
  </w:num>
  <w:num w:numId="32">
    <w:abstractNumId w:val="44"/>
  </w:num>
  <w:num w:numId="33">
    <w:abstractNumId w:val="11"/>
  </w:num>
  <w:num w:numId="34">
    <w:abstractNumId w:val="48"/>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9"/>
  </w:num>
  <w:num w:numId="38">
    <w:abstractNumId w:val="16"/>
  </w:num>
  <w:num w:numId="39">
    <w:abstractNumId w:val="22"/>
  </w:num>
  <w:num w:numId="40">
    <w:abstractNumId w:val="51"/>
  </w:num>
  <w:num w:numId="41">
    <w:abstractNumId w:val="15"/>
  </w:num>
  <w:num w:numId="42">
    <w:abstractNumId w:val="5"/>
  </w:num>
  <w:num w:numId="43">
    <w:abstractNumId w:val="33"/>
  </w:num>
  <w:num w:numId="44">
    <w:abstractNumId w:val="43"/>
  </w:num>
  <w:num w:numId="45">
    <w:abstractNumId w:val="42"/>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47"/>
  </w:num>
  <w:num w:numId="50">
    <w:abstractNumId w:val="52"/>
  </w:num>
  <w:num w:numId="51">
    <w:abstractNumId w:val="17"/>
  </w:num>
  <w:num w:numId="52">
    <w:abstractNumId w:val="35"/>
  </w:num>
  <w:num w:numId="53">
    <w:abstractNumId w:val="47"/>
  </w:num>
  <w:num w:numId="54">
    <w:abstractNumId w:val="52"/>
  </w:num>
  <w:num w:numId="55">
    <w:abstractNumId w:val="35"/>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4"/>
  </w:num>
  <w:num w:numId="58">
    <w:abstractNumId w:val="10"/>
  </w:num>
  <w:num w:numId="59">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0B2C"/>
    <w:rsid w:val="000112BB"/>
    <w:rsid w:val="00011B28"/>
    <w:rsid w:val="00011B37"/>
    <w:rsid w:val="00013BFE"/>
    <w:rsid w:val="00015D15"/>
    <w:rsid w:val="0001607D"/>
    <w:rsid w:val="0002149D"/>
    <w:rsid w:val="00022E21"/>
    <w:rsid w:val="000238F9"/>
    <w:rsid w:val="00023FDB"/>
    <w:rsid w:val="0002534B"/>
    <w:rsid w:val="0002564D"/>
    <w:rsid w:val="00025ECA"/>
    <w:rsid w:val="0002615C"/>
    <w:rsid w:val="00026857"/>
    <w:rsid w:val="000325B8"/>
    <w:rsid w:val="00034C15"/>
    <w:rsid w:val="000357DA"/>
    <w:rsid w:val="00035EF6"/>
    <w:rsid w:val="000365BA"/>
    <w:rsid w:val="00036BA1"/>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606A"/>
    <w:rsid w:val="000568DB"/>
    <w:rsid w:val="00057117"/>
    <w:rsid w:val="000575BD"/>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D12"/>
    <w:rsid w:val="0007368D"/>
    <w:rsid w:val="000764D7"/>
    <w:rsid w:val="0007656F"/>
    <w:rsid w:val="00077E5F"/>
    <w:rsid w:val="0008036A"/>
    <w:rsid w:val="0008048F"/>
    <w:rsid w:val="00080B91"/>
    <w:rsid w:val="00081AE6"/>
    <w:rsid w:val="00082A6A"/>
    <w:rsid w:val="000855EB"/>
    <w:rsid w:val="00085B52"/>
    <w:rsid w:val="000866F2"/>
    <w:rsid w:val="0008755D"/>
    <w:rsid w:val="0009009F"/>
    <w:rsid w:val="00091557"/>
    <w:rsid w:val="000924C1"/>
    <w:rsid w:val="000924F0"/>
    <w:rsid w:val="00092EAE"/>
    <w:rsid w:val="000931E7"/>
    <w:rsid w:val="00093474"/>
    <w:rsid w:val="0009510F"/>
    <w:rsid w:val="0009538D"/>
    <w:rsid w:val="00096011"/>
    <w:rsid w:val="0009777B"/>
    <w:rsid w:val="000A0C45"/>
    <w:rsid w:val="000A1A6B"/>
    <w:rsid w:val="000A1B7B"/>
    <w:rsid w:val="000A1C71"/>
    <w:rsid w:val="000A1EE6"/>
    <w:rsid w:val="000A259B"/>
    <w:rsid w:val="000A4D56"/>
    <w:rsid w:val="000A56F2"/>
    <w:rsid w:val="000A7993"/>
    <w:rsid w:val="000B1CEC"/>
    <w:rsid w:val="000B2719"/>
    <w:rsid w:val="000B353E"/>
    <w:rsid w:val="000B3A8F"/>
    <w:rsid w:val="000B4AB9"/>
    <w:rsid w:val="000B55B4"/>
    <w:rsid w:val="000B58C3"/>
    <w:rsid w:val="000B61E9"/>
    <w:rsid w:val="000B7557"/>
    <w:rsid w:val="000C0C5A"/>
    <w:rsid w:val="000C1648"/>
    <w:rsid w:val="000C165A"/>
    <w:rsid w:val="000C2E19"/>
    <w:rsid w:val="000C786F"/>
    <w:rsid w:val="000C7FB3"/>
    <w:rsid w:val="000D0D07"/>
    <w:rsid w:val="000D1A6E"/>
    <w:rsid w:val="000D3B84"/>
    <w:rsid w:val="000D4797"/>
    <w:rsid w:val="000E0527"/>
    <w:rsid w:val="000E106A"/>
    <w:rsid w:val="000E1E92"/>
    <w:rsid w:val="000E26F2"/>
    <w:rsid w:val="000E42D0"/>
    <w:rsid w:val="000E4D53"/>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D7D"/>
    <w:rsid w:val="00110811"/>
    <w:rsid w:val="00111F8B"/>
    <w:rsid w:val="00113329"/>
    <w:rsid w:val="00113423"/>
    <w:rsid w:val="00113CF4"/>
    <w:rsid w:val="00113E86"/>
    <w:rsid w:val="00114AF9"/>
    <w:rsid w:val="001153EA"/>
    <w:rsid w:val="00115643"/>
    <w:rsid w:val="00115CAD"/>
    <w:rsid w:val="00116765"/>
    <w:rsid w:val="0012050A"/>
    <w:rsid w:val="00120A6A"/>
    <w:rsid w:val="001219F5"/>
    <w:rsid w:val="00121A20"/>
    <w:rsid w:val="0012201A"/>
    <w:rsid w:val="0012377F"/>
    <w:rsid w:val="00124314"/>
    <w:rsid w:val="00126B4A"/>
    <w:rsid w:val="001307BF"/>
    <w:rsid w:val="0013085A"/>
    <w:rsid w:val="00130D4E"/>
    <w:rsid w:val="0013140C"/>
    <w:rsid w:val="00132FD0"/>
    <w:rsid w:val="001344C0"/>
    <w:rsid w:val="001346FA"/>
    <w:rsid w:val="00135252"/>
    <w:rsid w:val="00136B3E"/>
    <w:rsid w:val="00137179"/>
    <w:rsid w:val="00137864"/>
    <w:rsid w:val="00137AB5"/>
    <w:rsid w:val="00137F0B"/>
    <w:rsid w:val="001422E3"/>
    <w:rsid w:val="00143508"/>
    <w:rsid w:val="00143541"/>
    <w:rsid w:val="00144CDF"/>
    <w:rsid w:val="0015017A"/>
    <w:rsid w:val="0015091F"/>
    <w:rsid w:val="00151A3B"/>
    <w:rsid w:val="00151E23"/>
    <w:rsid w:val="001526E0"/>
    <w:rsid w:val="00153C1B"/>
    <w:rsid w:val="001551B5"/>
    <w:rsid w:val="00157FCB"/>
    <w:rsid w:val="001604C7"/>
    <w:rsid w:val="00163C15"/>
    <w:rsid w:val="00164C64"/>
    <w:rsid w:val="00164FA1"/>
    <w:rsid w:val="0016509F"/>
    <w:rsid w:val="001659C1"/>
    <w:rsid w:val="00167485"/>
    <w:rsid w:val="00170107"/>
    <w:rsid w:val="00170245"/>
    <w:rsid w:val="00173A8E"/>
    <w:rsid w:val="0017502C"/>
    <w:rsid w:val="00177961"/>
    <w:rsid w:val="001810DB"/>
    <w:rsid w:val="0018143F"/>
    <w:rsid w:val="00181FF8"/>
    <w:rsid w:val="00183AAD"/>
    <w:rsid w:val="0019034B"/>
    <w:rsid w:val="00190AC1"/>
    <w:rsid w:val="0019341A"/>
    <w:rsid w:val="00195E47"/>
    <w:rsid w:val="00196903"/>
    <w:rsid w:val="00197DF9"/>
    <w:rsid w:val="001A1987"/>
    <w:rsid w:val="001A19C6"/>
    <w:rsid w:val="001A2564"/>
    <w:rsid w:val="001A3098"/>
    <w:rsid w:val="001A3FD0"/>
    <w:rsid w:val="001A41F2"/>
    <w:rsid w:val="001A5590"/>
    <w:rsid w:val="001A6173"/>
    <w:rsid w:val="001A63AC"/>
    <w:rsid w:val="001A6CBA"/>
    <w:rsid w:val="001A730B"/>
    <w:rsid w:val="001A7B08"/>
    <w:rsid w:val="001A7CBC"/>
    <w:rsid w:val="001B0D97"/>
    <w:rsid w:val="001B1247"/>
    <w:rsid w:val="001B1C69"/>
    <w:rsid w:val="001B3CDA"/>
    <w:rsid w:val="001B46A5"/>
    <w:rsid w:val="001B5A5D"/>
    <w:rsid w:val="001C01F7"/>
    <w:rsid w:val="001C0E2E"/>
    <w:rsid w:val="001C1CE5"/>
    <w:rsid w:val="001C3D2A"/>
    <w:rsid w:val="001C3DDE"/>
    <w:rsid w:val="001D0EF4"/>
    <w:rsid w:val="001D2678"/>
    <w:rsid w:val="001D51BA"/>
    <w:rsid w:val="001D53E7"/>
    <w:rsid w:val="001D5DCE"/>
    <w:rsid w:val="001D6342"/>
    <w:rsid w:val="001D6D53"/>
    <w:rsid w:val="001D6E32"/>
    <w:rsid w:val="001D7629"/>
    <w:rsid w:val="001E2563"/>
    <w:rsid w:val="001E47B0"/>
    <w:rsid w:val="001E4EF5"/>
    <w:rsid w:val="001E58E2"/>
    <w:rsid w:val="001E5D9E"/>
    <w:rsid w:val="001E7AED"/>
    <w:rsid w:val="001E7CC9"/>
    <w:rsid w:val="001F0EE6"/>
    <w:rsid w:val="001F3916"/>
    <w:rsid w:val="001F54C5"/>
    <w:rsid w:val="001F662C"/>
    <w:rsid w:val="001F7074"/>
    <w:rsid w:val="00200490"/>
    <w:rsid w:val="00200513"/>
    <w:rsid w:val="0020093B"/>
    <w:rsid w:val="00201F3A"/>
    <w:rsid w:val="00203A78"/>
    <w:rsid w:val="00203F96"/>
    <w:rsid w:val="002061E1"/>
    <w:rsid w:val="002069B2"/>
    <w:rsid w:val="00206B6C"/>
    <w:rsid w:val="00207FA3"/>
    <w:rsid w:val="00213433"/>
    <w:rsid w:val="00214DA8"/>
    <w:rsid w:val="00215423"/>
    <w:rsid w:val="002158FA"/>
    <w:rsid w:val="00216006"/>
    <w:rsid w:val="0021613A"/>
    <w:rsid w:val="00220600"/>
    <w:rsid w:val="002224DB"/>
    <w:rsid w:val="00223FCB"/>
    <w:rsid w:val="00224ECD"/>
    <w:rsid w:val="002252C3"/>
    <w:rsid w:val="00225C54"/>
    <w:rsid w:val="00230765"/>
    <w:rsid w:val="00230D18"/>
    <w:rsid w:val="002319E4"/>
    <w:rsid w:val="00235628"/>
    <w:rsid w:val="00235632"/>
    <w:rsid w:val="00235872"/>
    <w:rsid w:val="00235E2D"/>
    <w:rsid w:val="002363DA"/>
    <w:rsid w:val="00237C14"/>
    <w:rsid w:val="002404FA"/>
    <w:rsid w:val="00240974"/>
    <w:rsid w:val="00241158"/>
    <w:rsid w:val="00241559"/>
    <w:rsid w:val="002435B3"/>
    <w:rsid w:val="002458B8"/>
    <w:rsid w:val="002458EB"/>
    <w:rsid w:val="002500C8"/>
    <w:rsid w:val="0025266F"/>
    <w:rsid w:val="00253853"/>
    <w:rsid w:val="00253E23"/>
    <w:rsid w:val="00257543"/>
    <w:rsid w:val="002579B9"/>
    <w:rsid w:val="002617E7"/>
    <w:rsid w:val="00264228"/>
    <w:rsid w:val="00264334"/>
    <w:rsid w:val="0026473E"/>
    <w:rsid w:val="00266214"/>
    <w:rsid w:val="00267C83"/>
    <w:rsid w:val="0027144F"/>
    <w:rsid w:val="00271813"/>
    <w:rsid w:val="00271F3A"/>
    <w:rsid w:val="00273278"/>
    <w:rsid w:val="00273584"/>
    <w:rsid w:val="0027358E"/>
    <w:rsid w:val="002737F4"/>
    <w:rsid w:val="00275186"/>
    <w:rsid w:val="0027582D"/>
    <w:rsid w:val="00280395"/>
    <w:rsid w:val="002805F5"/>
    <w:rsid w:val="0028063B"/>
    <w:rsid w:val="00280751"/>
    <w:rsid w:val="00280D0F"/>
    <w:rsid w:val="0028140D"/>
    <w:rsid w:val="0028280A"/>
    <w:rsid w:val="00283ADA"/>
    <w:rsid w:val="0028445F"/>
    <w:rsid w:val="00284993"/>
    <w:rsid w:val="00284D0A"/>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D4E"/>
    <w:rsid w:val="002A2869"/>
    <w:rsid w:val="002A45B9"/>
    <w:rsid w:val="002A5044"/>
    <w:rsid w:val="002A61C9"/>
    <w:rsid w:val="002B24D6"/>
    <w:rsid w:val="002B2FA4"/>
    <w:rsid w:val="002B3E30"/>
    <w:rsid w:val="002B5758"/>
    <w:rsid w:val="002B63FD"/>
    <w:rsid w:val="002B697D"/>
    <w:rsid w:val="002B6B8E"/>
    <w:rsid w:val="002C1D86"/>
    <w:rsid w:val="002C3358"/>
    <w:rsid w:val="002C41E6"/>
    <w:rsid w:val="002C73A0"/>
    <w:rsid w:val="002C76D8"/>
    <w:rsid w:val="002C796D"/>
    <w:rsid w:val="002D071A"/>
    <w:rsid w:val="002D10D4"/>
    <w:rsid w:val="002D34B2"/>
    <w:rsid w:val="002D48B0"/>
    <w:rsid w:val="002D5B37"/>
    <w:rsid w:val="002D665B"/>
    <w:rsid w:val="002D7637"/>
    <w:rsid w:val="002E17F2"/>
    <w:rsid w:val="002E230A"/>
    <w:rsid w:val="002E3610"/>
    <w:rsid w:val="002E6C49"/>
    <w:rsid w:val="002E7526"/>
    <w:rsid w:val="002E7CAE"/>
    <w:rsid w:val="002F10A0"/>
    <w:rsid w:val="002F1E20"/>
    <w:rsid w:val="002F2771"/>
    <w:rsid w:val="002F2D1D"/>
    <w:rsid w:val="002F3449"/>
    <w:rsid w:val="002F37A9"/>
    <w:rsid w:val="002F3E73"/>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94C"/>
    <w:rsid w:val="003203ED"/>
    <w:rsid w:val="00322C9F"/>
    <w:rsid w:val="0032394D"/>
    <w:rsid w:val="00324419"/>
    <w:rsid w:val="00324D23"/>
    <w:rsid w:val="00325601"/>
    <w:rsid w:val="00326C76"/>
    <w:rsid w:val="00331751"/>
    <w:rsid w:val="00331C5B"/>
    <w:rsid w:val="003323D5"/>
    <w:rsid w:val="003338B5"/>
    <w:rsid w:val="00333923"/>
    <w:rsid w:val="00334221"/>
    <w:rsid w:val="00334579"/>
    <w:rsid w:val="00335858"/>
    <w:rsid w:val="00336BDA"/>
    <w:rsid w:val="00342BD7"/>
    <w:rsid w:val="00342CDF"/>
    <w:rsid w:val="00344973"/>
    <w:rsid w:val="00346DB5"/>
    <w:rsid w:val="003477B1"/>
    <w:rsid w:val="003509F5"/>
    <w:rsid w:val="00357380"/>
    <w:rsid w:val="003602D9"/>
    <w:rsid w:val="003604CE"/>
    <w:rsid w:val="00364EA6"/>
    <w:rsid w:val="003703FD"/>
    <w:rsid w:val="00370E47"/>
    <w:rsid w:val="00370EE5"/>
    <w:rsid w:val="00372075"/>
    <w:rsid w:val="003742AC"/>
    <w:rsid w:val="00376769"/>
    <w:rsid w:val="00377CE1"/>
    <w:rsid w:val="00380C83"/>
    <w:rsid w:val="00381A09"/>
    <w:rsid w:val="0038335F"/>
    <w:rsid w:val="00385BF0"/>
    <w:rsid w:val="00386622"/>
    <w:rsid w:val="003938BC"/>
    <w:rsid w:val="003939FF"/>
    <w:rsid w:val="00395217"/>
    <w:rsid w:val="00396AB7"/>
    <w:rsid w:val="00397704"/>
    <w:rsid w:val="003A0AC9"/>
    <w:rsid w:val="003A2223"/>
    <w:rsid w:val="003A27D6"/>
    <w:rsid w:val="003A27E4"/>
    <w:rsid w:val="003A2A0F"/>
    <w:rsid w:val="003A34BF"/>
    <w:rsid w:val="003A45A1"/>
    <w:rsid w:val="003A5B0A"/>
    <w:rsid w:val="003A6291"/>
    <w:rsid w:val="003A6BAC"/>
    <w:rsid w:val="003A70A4"/>
    <w:rsid w:val="003A7EF3"/>
    <w:rsid w:val="003A7FD4"/>
    <w:rsid w:val="003B0815"/>
    <w:rsid w:val="003B159C"/>
    <w:rsid w:val="003B2984"/>
    <w:rsid w:val="003B2C93"/>
    <w:rsid w:val="003B369F"/>
    <w:rsid w:val="003B36A3"/>
    <w:rsid w:val="003B62E6"/>
    <w:rsid w:val="003B64BB"/>
    <w:rsid w:val="003B69A7"/>
    <w:rsid w:val="003B7FE5"/>
    <w:rsid w:val="003C00CB"/>
    <w:rsid w:val="003C11C8"/>
    <w:rsid w:val="003C1E4A"/>
    <w:rsid w:val="003C2702"/>
    <w:rsid w:val="003C439D"/>
    <w:rsid w:val="003C5938"/>
    <w:rsid w:val="003C7806"/>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241F"/>
    <w:rsid w:val="003F2CD4"/>
    <w:rsid w:val="003F3BDF"/>
    <w:rsid w:val="003F403D"/>
    <w:rsid w:val="003F5782"/>
    <w:rsid w:val="003F68C0"/>
    <w:rsid w:val="003F6BBE"/>
    <w:rsid w:val="003F7155"/>
    <w:rsid w:val="003F7760"/>
    <w:rsid w:val="004000E8"/>
    <w:rsid w:val="00400BB3"/>
    <w:rsid w:val="00402E2B"/>
    <w:rsid w:val="00402EB6"/>
    <w:rsid w:val="0040512B"/>
    <w:rsid w:val="00405CA5"/>
    <w:rsid w:val="00407CD3"/>
    <w:rsid w:val="00410134"/>
    <w:rsid w:val="00410B72"/>
    <w:rsid w:val="00410F18"/>
    <w:rsid w:val="0041249F"/>
    <w:rsid w:val="0041263E"/>
    <w:rsid w:val="00413AAC"/>
    <w:rsid w:val="00413B66"/>
    <w:rsid w:val="00413E92"/>
    <w:rsid w:val="00421105"/>
    <w:rsid w:val="00422AA4"/>
    <w:rsid w:val="004242F4"/>
    <w:rsid w:val="004262BB"/>
    <w:rsid w:val="00427248"/>
    <w:rsid w:val="004273B5"/>
    <w:rsid w:val="00432EE6"/>
    <w:rsid w:val="004330C7"/>
    <w:rsid w:val="00436676"/>
    <w:rsid w:val="00436B5D"/>
    <w:rsid w:val="00437447"/>
    <w:rsid w:val="004410B2"/>
    <w:rsid w:val="00441A92"/>
    <w:rsid w:val="00442521"/>
    <w:rsid w:val="004430D2"/>
    <w:rsid w:val="004431DC"/>
    <w:rsid w:val="00444F56"/>
    <w:rsid w:val="00446488"/>
    <w:rsid w:val="00451787"/>
    <w:rsid w:val="004517AA"/>
    <w:rsid w:val="00451A09"/>
    <w:rsid w:val="00452CAC"/>
    <w:rsid w:val="00454A39"/>
    <w:rsid w:val="0045675C"/>
    <w:rsid w:val="00457565"/>
    <w:rsid w:val="00457B71"/>
    <w:rsid w:val="00460A36"/>
    <w:rsid w:val="00460F75"/>
    <w:rsid w:val="0046114A"/>
    <w:rsid w:val="004611F3"/>
    <w:rsid w:val="00461C51"/>
    <w:rsid w:val="004643AC"/>
    <w:rsid w:val="004648D2"/>
    <w:rsid w:val="0046625D"/>
    <w:rsid w:val="004669E2"/>
    <w:rsid w:val="00467BAF"/>
    <w:rsid w:val="00470C31"/>
    <w:rsid w:val="00470DE9"/>
    <w:rsid w:val="00471DE0"/>
    <w:rsid w:val="00472D44"/>
    <w:rsid w:val="004734D0"/>
    <w:rsid w:val="00474844"/>
    <w:rsid w:val="00475523"/>
    <w:rsid w:val="0047556B"/>
    <w:rsid w:val="004755B3"/>
    <w:rsid w:val="00477768"/>
    <w:rsid w:val="00482038"/>
    <w:rsid w:val="004826A3"/>
    <w:rsid w:val="004848D9"/>
    <w:rsid w:val="004865B7"/>
    <w:rsid w:val="00491CBB"/>
    <w:rsid w:val="00492BC5"/>
    <w:rsid w:val="00493F2F"/>
    <w:rsid w:val="004964F1"/>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61B"/>
    <w:rsid w:val="004C5F2E"/>
    <w:rsid w:val="004D0F82"/>
    <w:rsid w:val="004D2254"/>
    <w:rsid w:val="004D361F"/>
    <w:rsid w:val="004D36B1"/>
    <w:rsid w:val="004D3AD2"/>
    <w:rsid w:val="004D7A21"/>
    <w:rsid w:val="004D7EBD"/>
    <w:rsid w:val="004E10C6"/>
    <w:rsid w:val="004E2680"/>
    <w:rsid w:val="004E28F9"/>
    <w:rsid w:val="004E45B1"/>
    <w:rsid w:val="004E462E"/>
    <w:rsid w:val="004E5026"/>
    <w:rsid w:val="004E56DC"/>
    <w:rsid w:val="004E63BC"/>
    <w:rsid w:val="004E670F"/>
    <w:rsid w:val="004E6FF1"/>
    <w:rsid w:val="004E76F4"/>
    <w:rsid w:val="004F0194"/>
    <w:rsid w:val="004F0B4E"/>
    <w:rsid w:val="004F0B6C"/>
    <w:rsid w:val="004F2078"/>
    <w:rsid w:val="004F217B"/>
    <w:rsid w:val="004F4213"/>
    <w:rsid w:val="004F4896"/>
    <w:rsid w:val="004F4DA3"/>
    <w:rsid w:val="004F58BE"/>
    <w:rsid w:val="004F59BA"/>
    <w:rsid w:val="0050521C"/>
    <w:rsid w:val="00506557"/>
    <w:rsid w:val="0050677A"/>
    <w:rsid w:val="00506990"/>
    <w:rsid w:val="0051079B"/>
    <w:rsid w:val="005108D8"/>
    <w:rsid w:val="005116F9"/>
    <w:rsid w:val="00511B7A"/>
    <w:rsid w:val="00511E07"/>
    <w:rsid w:val="0051421D"/>
    <w:rsid w:val="005153A7"/>
    <w:rsid w:val="0051541D"/>
    <w:rsid w:val="0052044F"/>
    <w:rsid w:val="005219CF"/>
    <w:rsid w:val="0052206A"/>
    <w:rsid w:val="0052217E"/>
    <w:rsid w:val="00525545"/>
    <w:rsid w:val="00525B92"/>
    <w:rsid w:val="005308B7"/>
    <w:rsid w:val="00530DBE"/>
    <w:rsid w:val="00531013"/>
    <w:rsid w:val="00531802"/>
    <w:rsid w:val="005324D5"/>
    <w:rsid w:val="005333A2"/>
    <w:rsid w:val="005337FA"/>
    <w:rsid w:val="00534B59"/>
    <w:rsid w:val="00536759"/>
    <w:rsid w:val="00537C62"/>
    <w:rsid w:val="00541B53"/>
    <w:rsid w:val="00546970"/>
    <w:rsid w:val="00550B79"/>
    <w:rsid w:val="00551F3D"/>
    <w:rsid w:val="0055343F"/>
    <w:rsid w:val="00554E19"/>
    <w:rsid w:val="0055642F"/>
    <w:rsid w:val="0056121F"/>
    <w:rsid w:val="00561738"/>
    <w:rsid w:val="00562EA2"/>
    <w:rsid w:val="00566E78"/>
    <w:rsid w:val="00572505"/>
    <w:rsid w:val="00572CA2"/>
    <w:rsid w:val="00573A0D"/>
    <w:rsid w:val="00573FA2"/>
    <w:rsid w:val="0057591F"/>
    <w:rsid w:val="00576E4D"/>
    <w:rsid w:val="00577E9B"/>
    <w:rsid w:val="00582809"/>
    <w:rsid w:val="00583BCC"/>
    <w:rsid w:val="0058798C"/>
    <w:rsid w:val="005900FA"/>
    <w:rsid w:val="00590DFD"/>
    <w:rsid w:val="00591772"/>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D21"/>
    <w:rsid w:val="005B2ED4"/>
    <w:rsid w:val="005B35D7"/>
    <w:rsid w:val="005B392A"/>
    <w:rsid w:val="005B3AA3"/>
    <w:rsid w:val="005B4274"/>
    <w:rsid w:val="005B6B0F"/>
    <w:rsid w:val="005B6F83"/>
    <w:rsid w:val="005C2066"/>
    <w:rsid w:val="005C45F1"/>
    <w:rsid w:val="005C4F06"/>
    <w:rsid w:val="005C74FB"/>
    <w:rsid w:val="005C7531"/>
    <w:rsid w:val="005C775A"/>
    <w:rsid w:val="005C7DEC"/>
    <w:rsid w:val="005D0A6F"/>
    <w:rsid w:val="005D1602"/>
    <w:rsid w:val="005D2EBB"/>
    <w:rsid w:val="005D4777"/>
    <w:rsid w:val="005E0DBC"/>
    <w:rsid w:val="005E0E96"/>
    <w:rsid w:val="005E1D20"/>
    <w:rsid w:val="005E1E05"/>
    <w:rsid w:val="005E385F"/>
    <w:rsid w:val="005E3A27"/>
    <w:rsid w:val="005E5B81"/>
    <w:rsid w:val="005F1BBE"/>
    <w:rsid w:val="005F2CB1"/>
    <w:rsid w:val="005F3025"/>
    <w:rsid w:val="005F569B"/>
    <w:rsid w:val="005F618C"/>
    <w:rsid w:val="005F6A0F"/>
    <w:rsid w:val="005F70BD"/>
    <w:rsid w:val="00600CE5"/>
    <w:rsid w:val="0060283C"/>
    <w:rsid w:val="0060291E"/>
    <w:rsid w:val="00604F14"/>
    <w:rsid w:val="006064FC"/>
    <w:rsid w:val="006118E7"/>
    <w:rsid w:val="00611B83"/>
    <w:rsid w:val="00613257"/>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ACD"/>
    <w:rsid w:val="0065677C"/>
    <w:rsid w:val="00656A92"/>
    <w:rsid w:val="00656DDE"/>
    <w:rsid w:val="0066011D"/>
    <w:rsid w:val="00660251"/>
    <w:rsid w:val="006607C0"/>
    <w:rsid w:val="006613A6"/>
    <w:rsid w:val="00661E72"/>
    <w:rsid w:val="00662064"/>
    <w:rsid w:val="006627A2"/>
    <w:rsid w:val="00662A19"/>
    <w:rsid w:val="006634E6"/>
    <w:rsid w:val="00663611"/>
    <w:rsid w:val="006655EE"/>
    <w:rsid w:val="00667EE7"/>
    <w:rsid w:val="00670922"/>
    <w:rsid w:val="00670BE1"/>
    <w:rsid w:val="0067218F"/>
    <w:rsid w:val="00673F5A"/>
    <w:rsid w:val="006741F2"/>
    <w:rsid w:val="00674CC3"/>
    <w:rsid w:val="00675C72"/>
    <w:rsid w:val="006771F9"/>
    <w:rsid w:val="006776D7"/>
    <w:rsid w:val="00681003"/>
    <w:rsid w:val="006817C9"/>
    <w:rsid w:val="00683ECE"/>
    <w:rsid w:val="00684BC6"/>
    <w:rsid w:val="0068649B"/>
    <w:rsid w:val="006870E1"/>
    <w:rsid w:val="00691754"/>
    <w:rsid w:val="00695496"/>
    <w:rsid w:val="00695FC2"/>
    <w:rsid w:val="00696949"/>
    <w:rsid w:val="00697052"/>
    <w:rsid w:val="006A06F0"/>
    <w:rsid w:val="006A22FC"/>
    <w:rsid w:val="006A36C4"/>
    <w:rsid w:val="006A46FB"/>
    <w:rsid w:val="006A5E28"/>
    <w:rsid w:val="006A697B"/>
    <w:rsid w:val="006A7AFF"/>
    <w:rsid w:val="006B1816"/>
    <w:rsid w:val="006B2099"/>
    <w:rsid w:val="006B2467"/>
    <w:rsid w:val="006B35C3"/>
    <w:rsid w:val="006B3E02"/>
    <w:rsid w:val="006B4EEF"/>
    <w:rsid w:val="006B50CF"/>
    <w:rsid w:val="006B5EE9"/>
    <w:rsid w:val="006B67C9"/>
    <w:rsid w:val="006B7BAA"/>
    <w:rsid w:val="006C03B8"/>
    <w:rsid w:val="006C0DB7"/>
    <w:rsid w:val="006C19AB"/>
    <w:rsid w:val="006C3694"/>
    <w:rsid w:val="006C4D51"/>
    <w:rsid w:val="006C566E"/>
    <w:rsid w:val="006C5EC9"/>
    <w:rsid w:val="006C6059"/>
    <w:rsid w:val="006C6376"/>
    <w:rsid w:val="006C71A4"/>
    <w:rsid w:val="006C7522"/>
    <w:rsid w:val="006D0CB7"/>
    <w:rsid w:val="006D2CFB"/>
    <w:rsid w:val="006D426A"/>
    <w:rsid w:val="006D6F08"/>
    <w:rsid w:val="006D7175"/>
    <w:rsid w:val="006E062C"/>
    <w:rsid w:val="006E0AA2"/>
    <w:rsid w:val="006E1C82"/>
    <w:rsid w:val="006E28B7"/>
    <w:rsid w:val="006E2A5B"/>
    <w:rsid w:val="006E2A9B"/>
    <w:rsid w:val="006E3310"/>
    <w:rsid w:val="006E3B9F"/>
    <w:rsid w:val="006E4E39"/>
    <w:rsid w:val="006E509B"/>
    <w:rsid w:val="006E565E"/>
    <w:rsid w:val="006E673D"/>
    <w:rsid w:val="006E788D"/>
    <w:rsid w:val="006E7D3B"/>
    <w:rsid w:val="006F1B70"/>
    <w:rsid w:val="006F300E"/>
    <w:rsid w:val="006F341D"/>
    <w:rsid w:val="006F3CDE"/>
    <w:rsid w:val="006F464A"/>
    <w:rsid w:val="006F491D"/>
    <w:rsid w:val="006F58D4"/>
    <w:rsid w:val="006F6287"/>
    <w:rsid w:val="006F639A"/>
    <w:rsid w:val="006F6404"/>
    <w:rsid w:val="006F6582"/>
    <w:rsid w:val="006F74E2"/>
    <w:rsid w:val="0070346E"/>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647E"/>
    <w:rsid w:val="00746842"/>
    <w:rsid w:val="00747D8B"/>
    <w:rsid w:val="0075089B"/>
    <w:rsid w:val="00751228"/>
    <w:rsid w:val="007558CF"/>
    <w:rsid w:val="007571E1"/>
    <w:rsid w:val="00757A16"/>
    <w:rsid w:val="007604B2"/>
    <w:rsid w:val="00765281"/>
    <w:rsid w:val="007666BC"/>
    <w:rsid w:val="0076680C"/>
    <w:rsid w:val="00766BAD"/>
    <w:rsid w:val="007702CA"/>
    <w:rsid w:val="007729A2"/>
    <w:rsid w:val="00772D37"/>
    <w:rsid w:val="007755F2"/>
    <w:rsid w:val="00776971"/>
    <w:rsid w:val="00780A80"/>
    <w:rsid w:val="0078160F"/>
    <w:rsid w:val="0078177E"/>
    <w:rsid w:val="0078304C"/>
    <w:rsid w:val="0078344C"/>
    <w:rsid w:val="00783673"/>
    <w:rsid w:val="00785490"/>
    <w:rsid w:val="00785F54"/>
    <w:rsid w:val="00787524"/>
    <w:rsid w:val="00791415"/>
    <w:rsid w:val="007925EA"/>
    <w:rsid w:val="00793CD8"/>
    <w:rsid w:val="00795AE4"/>
    <w:rsid w:val="00795C92"/>
    <w:rsid w:val="00796231"/>
    <w:rsid w:val="00797A63"/>
    <w:rsid w:val="00797DA6"/>
    <w:rsid w:val="00797EF5"/>
    <w:rsid w:val="007A1CB3"/>
    <w:rsid w:val="007A21FF"/>
    <w:rsid w:val="007A306F"/>
    <w:rsid w:val="007A43A6"/>
    <w:rsid w:val="007A58A6"/>
    <w:rsid w:val="007B1462"/>
    <w:rsid w:val="007B3D2D"/>
    <w:rsid w:val="007B50AE"/>
    <w:rsid w:val="007B51DF"/>
    <w:rsid w:val="007B5E59"/>
    <w:rsid w:val="007C05DD"/>
    <w:rsid w:val="007C3707"/>
    <w:rsid w:val="007C3D18"/>
    <w:rsid w:val="007C517D"/>
    <w:rsid w:val="007C6032"/>
    <w:rsid w:val="007C60BF"/>
    <w:rsid w:val="007C6A07"/>
    <w:rsid w:val="007C6D49"/>
    <w:rsid w:val="007C75A1"/>
    <w:rsid w:val="007C77A5"/>
    <w:rsid w:val="007D04E5"/>
    <w:rsid w:val="007D0EA9"/>
    <w:rsid w:val="007D166C"/>
    <w:rsid w:val="007D1D38"/>
    <w:rsid w:val="007D3632"/>
    <w:rsid w:val="007D5901"/>
    <w:rsid w:val="007D7157"/>
    <w:rsid w:val="007D7526"/>
    <w:rsid w:val="007E2B52"/>
    <w:rsid w:val="007E4610"/>
    <w:rsid w:val="007E4715"/>
    <w:rsid w:val="007E4BFF"/>
    <w:rsid w:val="007E505B"/>
    <w:rsid w:val="007E5B09"/>
    <w:rsid w:val="007E7091"/>
    <w:rsid w:val="007F030F"/>
    <w:rsid w:val="007F0F20"/>
    <w:rsid w:val="007F2D40"/>
    <w:rsid w:val="007F332D"/>
    <w:rsid w:val="007F577A"/>
    <w:rsid w:val="0080038D"/>
    <w:rsid w:val="00801A6B"/>
    <w:rsid w:val="0080281E"/>
    <w:rsid w:val="008036B6"/>
    <w:rsid w:val="00803EE8"/>
    <w:rsid w:val="00803FAE"/>
    <w:rsid w:val="00804732"/>
    <w:rsid w:val="008048E6"/>
    <w:rsid w:val="0080605F"/>
    <w:rsid w:val="008074B3"/>
    <w:rsid w:val="00807786"/>
    <w:rsid w:val="008108A1"/>
    <w:rsid w:val="00810E31"/>
    <w:rsid w:val="00810FDD"/>
    <w:rsid w:val="00811FCB"/>
    <w:rsid w:val="0081201F"/>
    <w:rsid w:val="008158D6"/>
    <w:rsid w:val="00816CBB"/>
    <w:rsid w:val="00817196"/>
    <w:rsid w:val="008200D9"/>
    <w:rsid w:val="00820D4F"/>
    <w:rsid w:val="0082151F"/>
    <w:rsid w:val="00822D0D"/>
    <w:rsid w:val="008235DB"/>
    <w:rsid w:val="00824AB4"/>
    <w:rsid w:val="00825C42"/>
    <w:rsid w:val="00825D25"/>
    <w:rsid w:val="008266D1"/>
    <w:rsid w:val="00826871"/>
    <w:rsid w:val="00827D6F"/>
    <w:rsid w:val="00831ADD"/>
    <w:rsid w:val="00833D37"/>
    <w:rsid w:val="008376AC"/>
    <w:rsid w:val="00840393"/>
    <w:rsid w:val="00840B2A"/>
    <w:rsid w:val="008444E8"/>
    <w:rsid w:val="00844E80"/>
    <w:rsid w:val="00846B21"/>
    <w:rsid w:val="00846FE7"/>
    <w:rsid w:val="0085034F"/>
    <w:rsid w:val="0085240F"/>
    <w:rsid w:val="0085256A"/>
    <w:rsid w:val="0085268C"/>
    <w:rsid w:val="00856911"/>
    <w:rsid w:val="00857D67"/>
    <w:rsid w:val="00862294"/>
    <w:rsid w:val="008631B9"/>
    <w:rsid w:val="008677FD"/>
    <w:rsid w:val="008706D4"/>
    <w:rsid w:val="00870F8A"/>
    <w:rsid w:val="008719A4"/>
    <w:rsid w:val="00871D23"/>
    <w:rsid w:val="00872781"/>
    <w:rsid w:val="00874312"/>
    <w:rsid w:val="0087437C"/>
    <w:rsid w:val="00874E2F"/>
    <w:rsid w:val="00875CD7"/>
    <w:rsid w:val="00876B4D"/>
    <w:rsid w:val="00877F18"/>
    <w:rsid w:val="0088057B"/>
    <w:rsid w:val="008811AA"/>
    <w:rsid w:val="0088265B"/>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77D8"/>
    <w:rsid w:val="008B0483"/>
    <w:rsid w:val="008B120C"/>
    <w:rsid w:val="008B15F2"/>
    <w:rsid w:val="008B3DA1"/>
    <w:rsid w:val="008B51A0"/>
    <w:rsid w:val="008B592A"/>
    <w:rsid w:val="008B7B5C"/>
    <w:rsid w:val="008C055C"/>
    <w:rsid w:val="008C0C99"/>
    <w:rsid w:val="008C0E7D"/>
    <w:rsid w:val="008C2017"/>
    <w:rsid w:val="008C48FE"/>
    <w:rsid w:val="008C4958"/>
    <w:rsid w:val="008C4BAA"/>
    <w:rsid w:val="008C6AE8"/>
    <w:rsid w:val="008C7573"/>
    <w:rsid w:val="008D00A5"/>
    <w:rsid w:val="008D32E1"/>
    <w:rsid w:val="008D34F1"/>
    <w:rsid w:val="008D39D8"/>
    <w:rsid w:val="008D524E"/>
    <w:rsid w:val="008D56F4"/>
    <w:rsid w:val="008D6D1A"/>
    <w:rsid w:val="008E065E"/>
    <w:rsid w:val="008E0927"/>
    <w:rsid w:val="008E1909"/>
    <w:rsid w:val="008E21BD"/>
    <w:rsid w:val="008F121F"/>
    <w:rsid w:val="008F1EAB"/>
    <w:rsid w:val="008F24C1"/>
    <w:rsid w:val="008F33DC"/>
    <w:rsid w:val="008F4687"/>
    <w:rsid w:val="008F477F"/>
    <w:rsid w:val="008F5C96"/>
    <w:rsid w:val="00902350"/>
    <w:rsid w:val="0090336B"/>
    <w:rsid w:val="009053AA"/>
    <w:rsid w:val="00905E37"/>
    <w:rsid w:val="00906939"/>
    <w:rsid w:val="00910A35"/>
    <w:rsid w:val="00910B7D"/>
    <w:rsid w:val="00911267"/>
    <w:rsid w:val="00911DFB"/>
    <w:rsid w:val="009128CD"/>
    <w:rsid w:val="009139D9"/>
    <w:rsid w:val="00914AD8"/>
    <w:rsid w:val="009150C4"/>
    <w:rsid w:val="00916079"/>
    <w:rsid w:val="00917CE9"/>
    <w:rsid w:val="00920BF2"/>
    <w:rsid w:val="00922010"/>
    <w:rsid w:val="00926C93"/>
    <w:rsid w:val="00931BD9"/>
    <w:rsid w:val="00932375"/>
    <w:rsid w:val="00932F6D"/>
    <w:rsid w:val="00933D0A"/>
    <w:rsid w:val="0093433F"/>
    <w:rsid w:val="00934C31"/>
    <w:rsid w:val="009368F3"/>
    <w:rsid w:val="00940D4E"/>
    <w:rsid w:val="00941636"/>
    <w:rsid w:val="00943742"/>
    <w:rsid w:val="009456A4"/>
    <w:rsid w:val="00945C05"/>
    <w:rsid w:val="00946146"/>
    <w:rsid w:val="00946945"/>
    <w:rsid w:val="00946AE5"/>
    <w:rsid w:val="00947713"/>
    <w:rsid w:val="0095037B"/>
    <w:rsid w:val="00950DE7"/>
    <w:rsid w:val="00953635"/>
    <w:rsid w:val="00953920"/>
    <w:rsid w:val="00953D47"/>
    <w:rsid w:val="00954C33"/>
    <w:rsid w:val="0095681E"/>
    <w:rsid w:val="009572D4"/>
    <w:rsid w:val="00961921"/>
    <w:rsid w:val="0096353D"/>
    <w:rsid w:val="0096430A"/>
    <w:rsid w:val="00964A8D"/>
    <w:rsid w:val="0096554B"/>
    <w:rsid w:val="0096584A"/>
    <w:rsid w:val="009665A0"/>
    <w:rsid w:val="00966FDF"/>
    <w:rsid w:val="0097137B"/>
    <w:rsid w:val="00971F08"/>
    <w:rsid w:val="00974370"/>
    <w:rsid w:val="00975B79"/>
    <w:rsid w:val="0097603D"/>
    <w:rsid w:val="0097680B"/>
    <w:rsid w:val="00976949"/>
    <w:rsid w:val="00980332"/>
    <w:rsid w:val="00980477"/>
    <w:rsid w:val="0098139F"/>
    <w:rsid w:val="009822DE"/>
    <w:rsid w:val="009843A1"/>
    <w:rsid w:val="009847D1"/>
    <w:rsid w:val="00985253"/>
    <w:rsid w:val="009853B3"/>
    <w:rsid w:val="009859A4"/>
    <w:rsid w:val="00986A48"/>
    <w:rsid w:val="009879F3"/>
    <w:rsid w:val="00987DCE"/>
    <w:rsid w:val="00990630"/>
    <w:rsid w:val="00991761"/>
    <w:rsid w:val="009934CD"/>
    <w:rsid w:val="00994CEE"/>
    <w:rsid w:val="00994DCA"/>
    <w:rsid w:val="009960EC"/>
    <w:rsid w:val="00996501"/>
    <w:rsid w:val="009970DD"/>
    <w:rsid w:val="009A0FBA"/>
    <w:rsid w:val="009A1601"/>
    <w:rsid w:val="009A3BB6"/>
    <w:rsid w:val="009A462D"/>
    <w:rsid w:val="009A4920"/>
    <w:rsid w:val="009A5CBA"/>
    <w:rsid w:val="009A5D92"/>
    <w:rsid w:val="009A63C3"/>
    <w:rsid w:val="009A7E94"/>
    <w:rsid w:val="009B1042"/>
    <w:rsid w:val="009B1D1F"/>
    <w:rsid w:val="009B1F30"/>
    <w:rsid w:val="009B233A"/>
    <w:rsid w:val="009B3AC2"/>
    <w:rsid w:val="009B4DF4"/>
    <w:rsid w:val="009B564E"/>
    <w:rsid w:val="009B640D"/>
    <w:rsid w:val="009B6527"/>
    <w:rsid w:val="009B7E87"/>
    <w:rsid w:val="009B7F2D"/>
    <w:rsid w:val="009C0169"/>
    <w:rsid w:val="009C24F1"/>
    <w:rsid w:val="009C403E"/>
    <w:rsid w:val="009C7E88"/>
    <w:rsid w:val="009D4FF0"/>
    <w:rsid w:val="009D553F"/>
    <w:rsid w:val="009D68F4"/>
    <w:rsid w:val="009D703C"/>
    <w:rsid w:val="009D713B"/>
    <w:rsid w:val="009D718F"/>
    <w:rsid w:val="009D7C4B"/>
    <w:rsid w:val="009E068F"/>
    <w:rsid w:val="009E0CBF"/>
    <w:rsid w:val="009E1492"/>
    <w:rsid w:val="009E14E0"/>
    <w:rsid w:val="009E35DB"/>
    <w:rsid w:val="009E39D9"/>
    <w:rsid w:val="009E47A3"/>
    <w:rsid w:val="009F08F3"/>
    <w:rsid w:val="009F2AD9"/>
    <w:rsid w:val="009F344F"/>
    <w:rsid w:val="009F6DCC"/>
    <w:rsid w:val="00A02E61"/>
    <w:rsid w:val="00A02EEC"/>
    <w:rsid w:val="00A031D8"/>
    <w:rsid w:val="00A048A8"/>
    <w:rsid w:val="00A04F49"/>
    <w:rsid w:val="00A12716"/>
    <w:rsid w:val="00A13E54"/>
    <w:rsid w:val="00A14210"/>
    <w:rsid w:val="00A17631"/>
    <w:rsid w:val="00A17F63"/>
    <w:rsid w:val="00A210AA"/>
    <w:rsid w:val="00A2193B"/>
    <w:rsid w:val="00A22921"/>
    <w:rsid w:val="00A2351A"/>
    <w:rsid w:val="00A2440F"/>
    <w:rsid w:val="00A264A9"/>
    <w:rsid w:val="00A26DAA"/>
    <w:rsid w:val="00A26DCF"/>
    <w:rsid w:val="00A27785"/>
    <w:rsid w:val="00A30187"/>
    <w:rsid w:val="00A32744"/>
    <w:rsid w:val="00A3448A"/>
    <w:rsid w:val="00A35081"/>
    <w:rsid w:val="00A3610C"/>
    <w:rsid w:val="00A36297"/>
    <w:rsid w:val="00A372FE"/>
    <w:rsid w:val="00A408CE"/>
    <w:rsid w:val="00A41E2B"/>
    <w:rsid w:val="00A44071"/>
    <w:rsid w:val="00A45282"/>
    <w:rsid w:val="00A45B74"/>
    <w:rsid w:val="00A46C44"/>
    <w:rsid w:val="00A47881"/>
    <w:rsid w:val="00A522CB"/>
    <w:rsid w:val="00A52E1D"/>
    <w:rsid w:val="00A53BF7"/>
    <w:rsid w:val="00A6097E"/>
    <w:rsid w:val="00A61499"/>
    <w:rsid w:val="00A62A77"/>
    <w:rsid w:val="00A63483"/>
    <w:rsid w:val="00A657D7"/>
    <w:rsid w:val="00A660AC"/>
    <w:rsid w:val="00A67E6C"/>
    <w:rsid w:val="00A71B99"/>
    <w:rsid w:val="00A71F78"/>
    <w:rsid w:val="00A739D0"/>
    <w:rsid w:val="00A74F39"/>
    <w:rsid w:val="00A75372"/>
    <w:rsid w:val="00A761D4"/>
    <w:rsid w:val="00A77A66"/>
    <w:rsid w:val="00A77EC4"/>
    <w:rsid w:val="00A80D59"/>
    <w:rsid w:val="00A820CC"/>
    <w:rsid w:val="00A83AB7"/>
    <w:rsid w:val="00A86154"/>
    <w:rsid w:val="00A92879"/>
    <w:rsid w:val="00A9442A"/>
    <w:rsid w:val="00A96A2C"/>
    <w:rsid w:val="00A96B79"/>
    <w:rsid w:val="00AA016F"/>
    <w:rsid w:val="00AA1ED6"/>
    <w:rsid w:val="00AA3168"/>
    <w:rsid w:val="00AA3CF6"/>
    <w:rsid w:val="00AA49DE"/>
    <w:rsid w:val="00AA4C19"/>
    <w:rsid w:val="00AA51D6"/>
    <w:rsid w:val="00AA522F"/>
    <w:rsid w:val="00AA6427"/>
    <w:rsid w:val="00AA6D0B"/>
    <w:rsid w:val="00AA7276"/>
    <w:rsid w:val="00AA7ACE"/>
    <w:rsid w:val="00AB04C7"/>
    <w:rsid w:val="00AB0BC8"/>
    <w:rsid w:val="00AB0C32"/>
    <w:rsid w:val="00AB11CA"/>
    <w:rsid w:val="00AB14D9"/>
    <w:rsid w:val="00AB33A0"/>
    <w:rsid w:val="00AB4AB8"/>
    <w:rsid w:val="00AB655E"/>
    <w:rsid w:val="00AB76F7"/>
    <w:rsid w:val="00AB7B87"/>
    <w:rsid w:val="00AC007F"/>
    <w:rsid w:val="00AC0A2C"/>
    <w:rsid w:val="00AC18AC"/>
    <w:rsid w:val="00AC1CA4"/>
    <w:rsid w:val="00AC2ECD"/>
    <w:rsid w:val="00AC3119"/>
    <w:rsid w:val="00AC49FB"/>
    <w:rsid w:val="00AC52E3"/>
    <w:rsid w:val="00AC5A10"/>
    <w:rsid w:val="00AC725C"/>
    <w:rsid w:val="00AC730A"/>
    <w:rsid w:val="00AD0AA3"/>
    <w:rsid w:val="00AD1A52"/>
    <w:rsid w:val="00AD3F94"/>
    <w:rsid w:val="00AD4A5A"/>
    <w:rsid w:val="00AD5CC2"/>
    <w:rsid w:val="00AD717B"/>
    <w:rsid w:val="00AD7C29"/>
    <w:rsid w:val="00AD7E33"/>
    <w:rsid w:val="00AE27AC"/>
    <w:rsid w:val="00AE29BD"/>
    <w:rsid w:val="00AE3C38"/>
    <w:rsid w:val="00AE40E0"/>
    <w:rsid w:val="00AE4795"/>
    <w:rsid w:val="00AE4DBA"/>
    <w:rsid w:val="00AE4F07"/>
    <w:rsid w:val="00AF03BD"/>
    <w:rsid w:val="00AF0F66"/>
    <w:rsid w:val="00AF1C5D"/>
    <w:rsid w:val="00AF1F8C"/>
    <w:rsid w:val="00AF316D"/>
    <w:rsid w:val="00AF332E"/>
    <w:rsid w:val="00AF4191"/>
    <w:rsid w:val="00AF42D7"/>
    <w:rsid w:val="00AF443B"/>
    <w:rsid w:val="00AF67A3"/>
    <w:rsid w:val="00B00588"/>
    <w:rsid w:val="00B00678"/>
    <w:rsid w:val="00B006FE"/>
    <w:rsid w:val="00B007CB"/>
    <w:rsid w:val="00B0099F"/>
    <w:rsid w:val="00B02AA9"/>
    <w:rsid w:val="00B02FA3"/>
    <w:rsid w:val="00B035A1"/>
    <w:rsid w:val="00B045F0"/>
    <w:rsid w:val="00B05084"/>
    <w:rsid w:val="00B05271"/>
    <w:rsid w:val="00B07169"/>
    <w:rsid w:val="00B15115"/>
    <w:rsid w:val="00B157F9"/>
    <w:rsid w:val="00B15D5D"/>
    <w:rsid w:val="00B17A64"/>
    <w:rsid w:val="00B20256"/>
    <w:rsid w:val="00B20D09"/>
    <w:rsid w:val="00B21620"/>
    <w:rsid w:val="00B22FA9"/>
    <w:rsid w:val="00B23308"/>
    <w:rsid w:val="00B25315"/>
    <w:rsid w:val="00B25854"/>
    <w:rsid w:val="00B2763F"/>
    <w:rsid w:val="00B276D9"/>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21EE"/>
    <w:rsid w:val="00B4387C"/>
    <w:rsid w:val="00B45410"/>
    <w:rsid w:val="00B45A52"/>
    <w:rsid w:val="00B46175"/>
    <w:rsid w:val="00B46FD3"/>
    <w:rsid w:val="00B47390"/>
    <w:rsid w:val="00B47AA0"/>
    <w:rsid w:val="00B52263"/>
    <w:rsid w:val="00B53060"/>
    <w:rsid w:val="00B548B7"/>
    <w:rsid w:val="00B60085"/>
    <w:rsid w:val="00B664C7"/>
    <w:rsid w:val="00B66A32"/>
    <w:rsid w:val="00B67111"/>
    <w:rsid w:val="00B7060C"/>
    <w:rsid w:val="00B739F6"/>
    <w:rsid w:val="00B80FA0"/>
    <w:rsid w:val="00B81A6C"/>
    <w:rsid w:val="00B826C4"/>
    <w:rsid w:val="00B833E0"/>
    <w:rsid w:val="00B85103"/>
    <w:rsid w:val="00B85388"/>
    <w:rsid w:val="00B85DE5"/>
    <w:rsid w:val="00B90ABF"/>
    <w:rsid w:val="00B90D2B"/>
    <w:rsid w:val="00B90F73"/>
    <w:rsid w:val="00B91217"/>
    <w:rsid w:val="00B914D0"/>
    <w:rsid w:val="00B93B59"/>
    <w:rsid w:val="00B9406A"/>
    <w:rsid w:val="00BA0447"/>
    <w:rsid w:val="00BA2280"/>
    <w:rsid w:val="00BA2A08"/>
    <w:rsid w:val="00BA3DF6"/>
    <w:rsid w:val="00BA56D2"/>
    <w:rsid w:val="00BA5B83"/>
    <w:rsid w:val="00BA76E0"/>
    <w:rsid w:val="00BB23EF"/>
    <w:rsid w:val="00BB2A25"/>
    <w:rsid w:val="00BB3148"/>
    <w:rsid w:val="00BB40C1"/>
    <w:rsid w:val="00BB51E9"/>
    <w:rsid w:val="00BC0FDC"/>
    <w:rsid w:val="00BC156D"/>
    <w:rsid w:val="00BC3053"/>
    <w:rsid w:val="00BC4D2E"/>
    <w:rsid w:val="00BC5C1C"/>
    <w:rsid w:val="00BC6BD8"/>
    <w:rsid w:val="00BC6C78"/>
    <w:rsid w:val="00BC6FA0"/>
    <w:rsid w:val="00BD389D"/>
    <w:rsid w:val="00BD4099"/>
    <w:rsid w:val="00BD48AC"/>
    <w:rsid w:val="00BD5F1A"/>
    <w:rsid w:val="00BE018E"/>
    <w:rsid w:val="00BE03FC"/>
    <w:rsid w:val="00BE08A5"/>
    <w:rsid w:val="00BE1234"/>
    <w:rsid w:val="00BE26CF"/>
    <w:rsid w:val="00BE2FA6"/>
    <w:rsid w:val="00BE333F"/>
    <w:rsid w:val="00BE3806"/>
    <w:rsid w:val="00BE52DE"/>
    <w:rsid w:val="00BE7406"/>
    <w:rsid w:val="00BE7603"/>
    <w:rsid w:val="00BF035A"/>
    <w:rsid w:val="00BF3279"/>
    <w:rsid w:val="00BF56B7"/>
    <w:rsid w:val="00BF5ACD"/>
    <w:rsid w:val="00BF72F5"/>
    <w:rsid w:val="00BF74C7"/>
    <w:rsid w:val="00C015F1"/>
    <w:rsid w:val="00C01E15"/>
    <w:rsid w:val="00C01F33"/>
    <w:rsid w:val="00C02CC6"/>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20E"/>
    <w:rsid w:val="00C21363"/>
    <w:rsid w:val="00C24F34"/>
    <w:rsid w:val="00C2555E"/>
    <w:rsid w:val="00C268E6"/>
    <w:rsid w:val="00C279B5"/>
    <w:rsid w:val="00C27C45"/>
    <w:rsid w:val="00C30252"/>
    <w:rsid w:val="00C327B5"/>
    <w:rsid w:val="00C35513"/>
    <w:rsid w:val="00C3719D"/>
    <w:rsid w:val="00C37A0A"/>
    <w:rsid w:val="00C37CB2"/>
    <w:rsid w:val="00C37DE7"/>
    <w:rsid w:val="00C42E00"/>
    <w:rsid w:val="00C44095"/>
    <w:rsid w:val="00C473A5"/>
    <w:rsid w:val="00C51BEE"/>
    <w:rsid w:val="00C52337"/>
    <w:rsid w:val="00C54995"/>
    <w:rsid w:val="00C54D41"/>
    <w:rsid w:val="00C57427"/>
    <w:rsid w:val="00C60532"/>
    <w:rsid w:val="00C605DA"/>
    <w:rsid w:val="00C60783"/>
    <w:rsid w:val="00C62381"/>
    <w:rsid w:val="00C6418B"/>
    <w:rsid w:val="00C64550"/>
    <w:rsid w:val="00C64672"/>
    <w:rsid w:val="00C65B46"/>
    <w:rsid w:val="00C66F9B"/>
    <w:rsid w:val="00C6704E"/>
    <w:rsid w:val="00C673A3"/>
    <w:rsid w:val="00C7011C"/>
    <w:rsid w:val="00C7014C"/>
    <w:rsid w:val="00C70697"/>
    <w:rsid w:val="00C72093"/>
    <w:rsid w:val="00C7258D"/>
    <w:rsid w:val="00C726E6"/>
    <w:rsid w:val="00C72EF4"/>
    <w:rsid w:val="00C73621"/>
    <w:rsid w:val="00C744FE"/>
    <w:rsid w:val="00C75D2F"/>
    <w:rsid w:val="00C767BE"/>
    <w:rsid w:val="00C76E3C"/>
    <w:rsid w:val="00C81568"/>
    <w:rsid w:val="00C8157C"/>
    <w:rsid w:val="00C81900"/>
    <w:rsid w:val="00C8332B"/>
    <w:rsid w:val="00C83B81"/>
    <w:rsid w:val="00C83B8A"/>
    <w:rsid w:val="00C84F6B"/>
    <w:rsid w:val="00C85AC0"/>
    <w:rsid w:val="00C85B38"/>
    <w:rsid w:val="00C8720A"/>
    <w:rsid w:val="00C8733F"/>
    <w:rsid w:val="00C9027A"/>
    <w:rsid w:val="00C9068E"/>
    <w:rsid w:val="00C9236D"/>
    <w:rsid w:val="00C931D0"/>
    <w:rsid w:val="00C93814"/>
    <w:rsid w:val="00C93C4B"/>
    <w:rsid w:val="00C944AB"/>
    <w:rsid w:val="00C95B40"/>
    <w:rsid w:val="00CA005E"/>
    <w:rsid w:val="00CA0D1F"/>
    <w:rsid w:val="00CA1ED8"/>
    <w:rsid w:val="00CA3866"/>
    <w:rsid w:val="00CA5D4C"/>
    <w:rsid w:val="00CB0854"/>
    <w:rsid w:val="00CB0A1C"/>
    <w:rsid w:val="00CB0B37"/>
    <w:rsid w:val="00CB1F63"/>
    <w:rsid w:val="00CB54F4"/>
    <w:rsid w:val="00CB62DB"/>
    <w:rsid w:val="00CB7170"/>
    <w:rsid w:val="00CB730F"/>
    <w:rsid w:val="00CC040E"/>
    <w:rsid w:val="00CC111F"/>
    <w:rsid w:val="00CC2011"/>
    <w:rsid w:val="00CC2AA6"/>
    <w:rsid w:val="00CC3EA0"/>
    <w:rsid w:val="00CC590E"/>
    <w:rsid w:val="00CC646F"/>
    <w:rsid w:val="00CC7B45"/>
    <w:rsid w:val="00CD0B59"/>
    <w:rsid w:val="00CD1188"/>
    <w:rsid w:val="00CD2C5A"/>
    <w:rsid w:val="00CD2ED1"/>
    <w:rsid w:val="00CD337B"/>
    <w:rsid w:val="00CD3B56"/>
    <w:rsid w:val="00CD7C0C"/>
    <w:rsid w:val="00CE0263"/>
    <w:rsid w:val="00CE0424"/>
    <w:rsid w:val="00CE41E4"/>
    <w:rsid w:val="00CE7561"/>
    <w:rsid w:val="00CF1354"/>
    <w:rsid w:val="00CF1B46"/>
    <w:rsid w:val="00CF3B1F"/>
    <w:rsid w:val="00CF3BF6"/>
    <w:rsid w:val="00CF5CF2"/>
    <w:rsid w:val="00CF625B"/>
    <w:rsid w:val="00CF687E"/>
    <w:rsid w:val="00CF7BBA"/>
    <w:rsid w:val="00D001E2"/>
    <w:rsid w:val="00D01031"/>
    <w:rsid w:val="00D0349B"/>
    <w:rsid w:val="00D05582"/>
    <w:rsid w:val="00D056D3"/>
    <w:rsid w:val="00D077C2"/>
    <w:rsid w:val="00D10249"/>
    <w:rsid w:val="00D115C3"/>
    <w:rsid w:val="00D11897"/>
    <w:rsid w:val="00D125C6"/>
    <w:rsid w:val="00D13135"/>
    <w:rsid w:val="00D13E4E"/>
    <w:rsid w:val="00D20F61"/>
    <w:rsid w:val="00D21278"/>
    <w:rsid w:val="00D21577"/>
    <w:rsid w:val="00D239A7"/>
    <w:rsid w:val="00D23F47"/>
    <w:rsid w:val="00D2584A"/>
    <w:rsid w:val="00D324EC"/>
    <w:rsid w:val="00D32CEE"/>
    <w:rsid w:val="00D330E3"/>
    <w:rsid w:val="00D33708"/>
    <w:rsid w:val="00D34501"/>
    <w:rsid w:val="00D36E71"/>
    <w:rsid w:val="00D36E8C"/>
    <w:rsid w:val="00D37D87"/>
    <w:rsid w:val="00D40989"/>
    <w:rsid w:val="00D40B33"/>
    <w:rsid w:val="00D417B0"/>
    <w:rsid w:val="00D42B45"/>
    <w:rsid w:val="00D4318F"/>
    <w:rsid w:val="00D438BF"/>
    <w:rsid w:val="00D440F8"/>
    <w:rsid w:val="00D4560F"/>
    <w:rsid w:val="00D465B3"/>
    <w:rsid w:val="00D518B8"/>
    <w:rsid w:val="00D546FF"/>
    <w:rsid w:val="00D55AD5"/>
    <w:rsid w:val="00D56BF5"/>
    <w:rsid w:val="00D576CA"/>
    <w:rsid w:val="00D61AF5"/>
    <w:rsid w:val="00D6295C"/>
    <w:rsid w:val="00D652B5"/>
    <w:rsid w:val="00D66155"/>
    <w:rsid w:val="00D67C79"/>
    <w:rsid w:val="00D70078"/>
    <w:rsid w:val="00D708B0"/>
    <w:rsid w:val="00D729D6"/>
    <w:rsid w:val="00D74102"/>
    <w:rsid w:val="00D77306"/>
    <w:rsid w:val="00D77B1D"/>
    <w:rsid w:val="00D8021F"/>
    <w:rsid w:val="00D80383"/>
    <w:rsid w:val="00D80B57"/>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625B"/>
    <w:rsid w:val="00D96909"/>
    <w:rsid w:val="00DA187A"/>
    <w:rsid w:val="00DA18FF"/>
    <w:rsid w:val="00DA305E"/>
    <w:rsid w:val="00DA387C"/>
    <w:rsid w:val="00DA5417"/>
    <w:rsid w:val="00DA56E8"/>
    <w:rsid w:val="00DA5E58"/>
    <w:rsid w:val="00DB0054"/>
    <w:rsid w:val="00DB0A9F"/>
    <w:rsid w:val="00DB18F4"/>
    <w:rsid w:val="00DB1C49"/>
    <w:rsid w:val="00DB377D"/>
    <w:rsid w:val="00DB3B08"/>
    <w:rsid w:val="00DB409E"/>
    <w:rsid w:val="00DB6774"/>
    <w:rsid w:val="00DB6D30"/>
    <w:rsid w:val="00DB73CE"/>
    <w:rsid w:val="00DC0AD8"/>
    <w:rsid w:val="00DC2D36"/>
    <w:rsid w:val="00DC4951"/>
    <w:rsid w:val="00DC53EF"/>
    <w:rsid w:val="00DD5E8F"/>
    <w:rsid w:val="00DD7BDD"/>
    <w:rsid w:val="00DE0463"/>
    <w:rsid w:val="00DE1551"/>
    <w:rsid w:val="00DE5418"/>
    <w:rsid w:val="00DE5608"/>
    <w:rsid w:val="00DE58D0"/>
    <w:rsid w:val="00DE654F"/>
    <w:rsid w:val="00DE72D3"/>
    <w:rsid w:val="00DF0B6E"/>
    <w:rsid w:val="00DF11DC"/>
    <w:rsid w:val="00DF15E0"/>
    <w:rsid w:val="00DF3274"/>
    <w:rsid w:val="00DF376C"/>
    <w:rsid w:val="00DF37A0"/>
    <w:rsid w:val="00DF4E50"/>
    <w:rsid w:val="00DF6BA3"/>
    <w:rsid w:val="00DF7DEE"/>
    <w:rsid w:val="00DF7E3D"/>
    <w:rsid w:val="00E04C11"/>
    <w:rsid w:val="00E04F3D"/>
    <w:rsid w:val="00E04F4C"/>
    <w:rsid w:val="00E110E7"/>
    <w:rsid w:val="00E11B20"/>
    <w:rsid w:val="00E12E9D"/>
    <w:rsid w:val="00E14120"/>
    <w:rsid w:val="00E1449A"/>
    <w:rsid w:val="00E16DE0"/>
    <w:rsid w:val="00E16FE8"/>
    <w:rsid w:val="00E17587"/>
    <w:rsid w:val="00E17FA2"/>
    <w:rsid w:val="00E22330"/>
    <w:rsid w:val="00E224F8"/>
    <w:rsid w:val="00E27F11"/>
    <w:rsid w:val="00E30B5A"/>
    <w:rsid w:val="00E3123D"/>
    <w:rsid w:val="00E31461"/>
    <w:rsid w:val="00E31D43"/>
    <w:rsid w:val="00E31E94"/>
    <w:rsid w:val="00E32608"/>
    <w:rsid w:val="00E34188"/>
    <w:rsid w:val="00E34B6E"/>
    <w:rsid w:val="00E35559"/>
    <w:rsid w:val="00E3723A"/>
    <w:rsid w:val="00E37860"/>
    <w:rsid w:val="00E41219"/>
    <w:rsid w:val="00E446F1"/>
    <w:rsid w:val="00E451AC"/>
    <w:rsid w:val="00E46886"/>
    <w:rsid w:val="00E46C70"/>
    <w:rsid w:val="00E47AEF"/>
    <w:rsid w:val="00E51950"/>
    <w:rsid w:val="00E53328"/>
    <w:rsid w:val="00E53B75"/>
    <w:rsid w:val="00E540BB"/>
    <w:rsid w:val="00E54CBB"/>
    <w:rsid w:val="00E54E3B"/>
    <w:rsid w:val="00E55CCA"/>
    <w:rsid w:val="00E55E21"/>
    <w:rsid w:val="00E5637E"/>
    <w:rsid w:val="00E57565"/>
    <w:rsid w:val="00E60458"/>
    <w:rsid w:val="00E63838"/>
    <w:rsid w:val="00E63A14"/>
    <w:rsid w:val="00E64434"/>
    <w:rsid w:val="00E6456B"/>
    <w:rsid w:val="00E6718A"/>
    <w:rsid w:val="00E678BD"/>
    <w:rsid w:val="00E67C51"/>
    <w:rsid w:val="00E72EFC"/>
    <w:rsid w:val="00E7542F"/>
    <w:rsid w:val="00E758EC"/>
    <w:rsid w:val="00E75B11"/>
    <w:rsid w:val="00E7649E"/>
    <w:rsid w:val="00E77214"/>
    <w:rsid w:val="00E81123"/>
    <w:rsid w:val="00E81925"/>
    <w:rsid w:val="00E8234C"/>
    <w:rsid w:val="00E83722"/>
    <w:rsid w:val="00E83AA9"/>
    <w:rsid w:val="00E83D55"/>
    <w:rsid w:val="00E85928"/>
    <w:rsid w:val="00E87822"/>
    <w:rsid w:val="00E90395"/>
    <w:rsid w:val="00E90E49"/>
    <w:rsid w:val="00E917F9"/>
    <w:rsid w:val="00E9291C"/>
    <w:rsid w:val="00E93FFE"/>
    <w:rsid w:val="00E94CD0"/>
    <w:rsid w:val="00E94F8A"/>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410"/>
    <w:rsid w:val="00EC4D6B"/>
    <w:rsid w:val="00EC5653"/>
    <w:rsid w:val="00EC71CE"/>
    <w:rsid w:val="00EC7E34"/>
    <w:rsid w:val="00ED1006"/>
    <w:rsid w:val="00ED2818"/>
    <w:rsid w:val="00ED286A"/>
    <w:rsid w:val="00ED478D"/>
    <w:rsid w:val="00EE1A7A"/>
    <w:rsid w:val="00EE3F42"/>
    <w:rsid w:val="00EE4993"/>
    <w:rsid w:val="00EE4BC7"/>
    <w:rsid w:val="00EF059F"/>
    <w:rsid w:val="00EF1162"/>
    <w:rsid w:val="00EF18FE"/>
    <w:rsid w:val="00EF197F"/>
    <w:rsid w:val="00EF1A07"/>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5FA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703"/>
    <w:rsid w:val="00F40F0C"/>
    <w:rsid w:val="00F413E9"/>
    <w:rsid w:val="00F434AA"/>
    <w:rsid w:val="00F4467B"/>
    <w:rsid w:val="00F448D9"/>
    <w:rsid w:val="00F45B9E"/>
    <w:rsid w:val="00F462A7"/>
    <w:rsid w:val="00F4766C"/>
    <w:rsid w:val="00F5060E"/>
    <w:rsid w:val="00F507D1"/>
    <w:rsid w:val="00F50817"/>
    <w:rsid w:val="00F519CE"/>
    <w:rsid w:val="00F51ADA"/>
    <w:rsid w:val="00F53005"/>
    <w:rsid w:val="00F5324E"/>
    <w:rsid w:val="00F5637E"/>
    <w:rsid w:val="00F56903"/>
    <w:rsid w:val="00F56EDB"/>
    <w:rsid w:val="00F60203"/>
    <w:rsid w:val="00F607C5"/>
    <w:rsid w:val="00F60DEA"/>
    <w:rsid w:val="00F62048"/>
    <w:rsid w:val="00F6302A"/>
    <w:rsid w:val="00F63950"/>
    <w:rsid w:val="00F64C2B"/>
    <w:rsid w:val="00F651BE"/>
    <w:rsid w:val="00F67F53"/>
    <w:rsid w:val="00F703BE"/>
    <w:rsid w:val="00F70BCA"/>
    <w:rsid w:val="00F71F69"/>
    <w:rsid w:val="00F72B72"/>
    <w:rsid w:val="00F72D2A"/>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902DE"/>
    <w:rsid w:val="00F9044E"/>
    <w:rsid w:val="00F9056A"/>
    <w:rsid w:val="00F90F8D"/>
    <w:rsid w:val="00F918AB"/>
    <w:rsid w:val="00F92782"/>
    <w:rsid w:val="00F92E87"/>
    <w:rsid w:val="00F93AA9"/>
    <w:rsid w:val="00F94676"/>
    <w:rsid w:val="00F94F28"/>
    <w:rsid w:val="00F954A8"/>
    <w:rsid w:val="00F95EA8"/>
    <w:rsid w:val="00F9686F"/>
    <w:rsid w:val="00F96985"/>
    <w:rsid w:val="00F96E4D"/>
    <w:rsid w:val="00F97838"/>
    <w:rsid w:val="00FA0F2A"/>
    <w:rsid w:val="00FA10EB"/>
    <w:rsid w:val="00FA1248"/>
    <w:rsid w:val="00FA22F9"/>
    <w:rsid w:val="00FA2BB3"/>
    <w:rsid w:val="00FA3B5D"/>
    <w:rsid w:val="00FA60AD"/>
    <w:rsid w:val="00FB1799"/>
    <w:rsid w:val="00FB179D"/>
    <w:rsid w:val="00FB38A5"/>
    <w:rsid w:val="00FB4C80"/>
    <w:rsid w:val="00FB50E4"/>
    <w:rsid w:val="00FB6A6A"/>
    <w:rsid w:val="00FB7183"/>
    <w:rsid w:val="00FC2FC0"/>
    <w:rsid w:val="00FC7429"/>
    <w:rsid w:val="00FC7D0F"/>
    <w:rsid w:val="00FD0401"/>
    <w:rsid w:val="00FD07F6"/>
    <w:rsid w:val="00FD18F5"/>
    <w:rsid w:val="00FD1EC8"/>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3"/>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5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639A4-E353-4B5B-8C9E-4BF467465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purl.org/dc/terms/"/>
    <ds:schemaRef ds:uri="http://schemas.microsoft.com/office/2006/metadata/properties"/>
    <ds:schemaRef ds:uri="http://purl.org/dc/elements/1.1/"/>
    <ds:schemaRef ds:uri="http://schemas.microsoft.com/office/2006/documentManagement/types"/>
    <ds:schemaRef ds:uri="http://purl.org/dc/dcmitype/"/>
    <ds:schemaRef ds:uri="http://schemas.microsoft.com/office/infopath/2007/PartnerControls"/>
    <ds:schemaRef ds:uri="http://schemas.microsoft.com/sharepoint/v3"/>
    <ds:schemaRef ds:uri="http://www.w3.org/XML/1998/namespace"/>
    <ds:schemaRef ds:uri="http://schemas.openxmlformats.org/package/2006/metadata/core-propertie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3</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2022-02-14T11:59:00Z</dcterms:created>
  <dcterms:modified xsi:type="dcterms:W3CDTF">2022-02-14T11:59:00Z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